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650—29.4</w:t>
      </w:r>
      <w:r>
        <w:rPr>
          <w:rFonts w:ascii="Times New Roman" w:hAnsi="Times New Roman"/>
          <w:b/>
          <w:i w:val="false"/>
          <w:color w:val="000000"/>
          <w:sz w:val="22"/>
        </w:rPr>
        <w:t xml:space="preserve">(153) </w:t>
      </w:r>
      <w:r>
        <w:rPr>
          <w:rFonts w:ascii="Times New Roman" w:hAnsi="Times New Roman"/>
          <w:b/>
          <w:i w:val="false"/>
          <w:color w:val="000000"/>
          <w:sz w:val="22"/>
        </w:rPr>
        <w:t xml:space="preserve">Minimal sedation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val="false"/>
          <w:color w:val="000000"/>
          <w:sz w:val="22"/>
        </w:rPr>
        <w:t>A dentist shall evaluate a patient prior to the start of any sedative procedure. In healthy or medically stable patients (ASA I, II), the dentist should review the patient’s current medical history and medication use. For a patient with significant medical considerations (ASA III, IV), a dentist may need to consult with the patient’s primary care provider or consulting medical specialist. A dentist shall obtain informed consent from the patient or the patient’s parent or legal guardian prior to providing minimal sedation.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val="false"/>
          <w:color w:val="000000"/>
          <w:sz w:val="22"/>
        </w:rPr>
        <w:t>Record keeping. A time-oriented anesthesia record must be maintained and must contain the names of all drugs administered, including local anesthetics and nitrous oxide, dosages, time administered, and monitored physiological parameters, including oxygenation, ventilation, and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29.4(3)</w:t>
      </w:r>
      <w:r>
        <w:rPr>
          <w:rFonts w:ascii="Times New Roman" w:hAnsi="Times New Roman"/>
          <w:b w:val="false"/>
          <w:i w:val="false"/>
          <w:color w:val="000000"/>
          <w:sz w:val="22"/>
        </w:rPr>
        <w:t> </w:t>
      </w:r>
      <w:r>
        <w:rPr>
          <w:rFonts w:ascii="Times New Roman" w:hAnsi="Times New Roman"/>
          <w:b w:val="false"/>
          <w:i w:val="false"/>
          <w:color w:val="000000"/>
          <w:sz w:val="22"/>
        </w:rPr>
        <w:t>Minimal sedation for ASA I or II nonpediatric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prescribe or administer a single medication for minimal sedation via the enteral route that does not exceed the MRD for unmonitored home use. A dentist may administer a supplemental dose of the same drug provided the total aggregate dose does not exceed 1.5 times the MRD on the day of treatment. The dentist shall not administer a supplemental dose until the clinical half-life of the initial dose has passed.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administer a single medication for minimal sedation via the enteral route that does not exceed the MRD for monitored use on the day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may utilize nitrous oxide inhalation analgesia in combination with a single enteral drug.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29.4(4)</w:t>
      </w:r>
      <w:r>
        <w:rPr>
          <w:rFonts w:ascii="Times New Roman" w:hAnsi="Times New Roman"/>
          <w:b w:val="false"/>
          <w:i w:val="false"/>
          <w:color w:val="000000"/>
          <w:sz w:val="22"/>
        </w:rPr>
        <w:t> </w:t>
      </w:r>
      <w:r>
        <w:rPr>
          <w:rFonts w:ascii="Times New Roman" w:hAnsi="Times New Roman"/>
          <w:b w:val="false"/>
          <w:i w:val="false"/>
          <w:color w:val="000000"/>
          <w:sz w:val="22"/>
        </w:rPr>
        <w:t>Minimal sedation for ASA III, ASA IV or 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single medication for minimal sedation via the enteral route for ASA III or IV patients or pediatric patients that does not exceed the MRD for unmonitored home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administer a single medication for minimal sedation via the enteral route that does not exceed the MRD for monitored use on the day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nitrous oxide inhalation analgesia for minimal sedation of ASA III or IV patients or pediatric patients provided the concentration does not exceed 50 percent and is not used in combination with any other drug.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