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650—29.3</w:t>
      </w:r>
      <w:r>
        <w:rPr>
          <w:rFonts w:ascii="Times New Roman" w:hAnsi="Times New Roman"/>
          <w:b/>
          <w:i w:val="false"/>
          <w:color w:val="000000"/>
          <w:sz w:val="22"/>
        </w:rPr>
        <w:t xml:space="preserve">(153) </w:t>
      </w:r>
      <w:r>
        <w:rPr>
          <w:rFonts w:ascii="Times New Roman" w:hAnsi="Times New Roman"/>
          <w:b/>
          <w:i w:val="false"/>
          <w:color w:val="000000"/>
          <w:sz w:val="22"/>
        </w:rPr>
        <w:t xml:space="preserve">Nitrous oxide inhalation analgesia.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29.3(1)</w:t>
      </w:r>
      <w:r>
        <w:rPr>
          <w:rFonts w:ascii="Times New Roman" w:hAnsi="Times New Roman"/>
          <w:b w:val="false"/>
          <w:i w:val="false"/>
          <w:color w:val="000000"/>
          <w:sz w:val="22"/>
        </w:rPr>
        <w:t> </w:t>
      </w:r>
      <w:r>
        <w:rPr>
          <w:rFonts w:ascii="Times New Roman" w:hAnsi="Times New Roman"/>
          <w:b w:val="false"/>
          <w:i w:val="false"/>
          <w:color w:val="000000"/>
          <w:sz w:val="22"/>
        </w:rPr>
        <w:t xml:space="preserve">A dentist may use nitrous oxide inhalation analgesia sedation on an outpatient basis for dental patients provided the dentist has completed training and complies with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adequate equipment with fail-safe features.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routine inspection, calibration, and maintenance on equipment performed every two years and maintains documentation of such and provides documentation to the board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Ensures the patient is continually monitored by a patient monitor while receiving nitrous oxide inhalation analgesia.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29.3(2)</w:t>
      </w:r>
      <w:r>
        <w:rPr>
          <w:rFonts w:ascii="Times New Roman" w:hAnsi="Times New Roman"/>
          <w:b w:val="false"/>
          <w:i w:val="false"/>
          <w:color w:val="000000"/>
          <w:sz w:val="22"/>
        </w:rPr>
        <w:t> </w:t>
      </w:r>
      <w:r>
        <w:rPr>
          <w:rFonts w:ascii="Times New Roman" w:hAnsi="Times New Roman"/>
          <w:b w:val="false"/>
          <w:i w:val="false"/>
          <w:color w:val="000000"/>
          <w:sz w:val="22"/>
        </w:rPr>
        <w:t>A dentist shall provide direct supervision of the administration and monitoring of nitrous oxide and establish a written office protocol for taking vital signs, adjusting anesthetic concentrations, and addressing emergency situations that may arise. The dentist shall be responsible for dismissing the patient following completion of the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29.3(3)</w:t>
      </w:r>
      <w:r>
        <w:rPr>
          <w:rFonts w:ascii="Times New Roman" w:hAnsi="Times New Roman"/>
          <w:b w:val="false"/>
          <w:i w:val="false"/>
          <w:color w:val="000000"/>
          <w:sz w:val="22"/>
        </w:rPr>
        <w:t> </w:t>
      </w:r>
      <w:r>
        <w:rPr>
          <w:rFonts w:ascii="Times New Roman" w:hAnsi="Times New Roman"/>
          <w:b w:val="false"/>
          <w:i w:val="false"/>
          <w:color w:val="000000"/>
          <w:sz w:val="22"/>
        </w:rPr>
        <w:t>A dental hygienist may administer and monitor nitrous oxide inhalation analgesia provided the services have been prescribed by a dentist and the hygienist has completed training while a student in an accredited school of dental hygiene or a board-approved course of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29.3(4)</w:t>
      </w:r>
      <w:r>
        <w:rPr>
          <w:rFonts w:ascii="Times New Roman" w:hAnsi="Times New Roman"/>
          <w:b w:val="false"/>
          <w:i w:val="false"/>
          <w:color w:val="000000"/>
          <w:sz w:val="22"/>
        </w:rPr>
        <w:t> </w:t>
      </w:r>
      <w:r>
        <w:rPr>
          <w:rFonts w:ascii="Times New Roman" w:hAnsi="Times New Roman"/>
          <w:b w:val="false"/>
          <w:i w:val="false"/>
          <w:color w:val="000000"/>
          <w:sz w:val="22"/>
        </w:rPr>
        <w:t xml:space="preserve">A dental assistant may monitor a patient who is under nitrous oxide after the dentist has induced a patient and established the maintenance level, provided the dental assistant has completed a board-approved expanded function course. A dental assistant may make adjustments to decrease the nitrous oxide concentration while monitoring the patient or may turn off oxygen delivery at the completion of the dental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29.3(5)</w:t>
      </w:r>
      <w:r>
        <w:rPr>
          <w:rFonts w:ascii="Times New Roman" w:hAnsi="Times New Roman"/>
          <w:b w:val="false"/>
          <w:i w:val="false"/>
          <w:color w:val="000000"/>
          <w:sz w:val="22"/>
        </w:rPr>
        <w:t> </w:t>
      </w:r>
      <w:r>
        <w:rPr>
          <w:rFonts w:ascii="Times New Roman" w:hAnsi="Times New Roman"/>
          <w:b w:val="false"/>
          <w:i w:val="false"/>
          <w:color w:val="000000"/>
          <w:sz w:val="22"/>
        </w:rPr>
        <w:t>Record keeping. The patient chart must include the concentration administered and duration of administration, as well as any vital signs taken.</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4556C</w:t>
      </w:r>
      <w:r>
        <w:rPr>
          <w:rFonts w:ascii="Times New Roman" w:hAnsi="Times New Roman"/>
          <w:b w:val="false"/>
          <w:i w:val="false"/>
          <w:color w:val="000000"/>
          <w:sz w:val="16"/>
        </w:rPr>
        <w:t>, IAB 7/17/19, effective 8/21/19</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