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650—29.10</w:t>
      </w:r>
      <w:r>
        <w:rPr>
          <w:rFonts w:ascii="Times New Roman" w:hAnsi="Times New Roman"/>
          <w:b/>
          <w:i w:val="false"/>
          <w:color w:val="000000"/>
          <w:sz w:val="22"/>
        </w:rPr>
        <w:t xml:space="preserve">(153) </w:t>
      </w:r>
      <w:r>
        <w:rPr>
          <w:rFonts w:ascii="Times New Roman" w:hAnsi="Times New Roman"/>
          <w:b/>
          <w:i w:val="false"/>
          <w:color w:val="000000"/>
          <w:sz w:val="22"/>
        </w:rPr>
        <w:t xml:space="preserve">Reporting of adverse occurrences related to sedation or nitrous oxide.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29.10(1)</w:t>
      </w:r>
      <w:r>
        <w:rPr>
          <w:rFonts w:ascii="Times New Roman" w:hAnsi="Times New Roman"/>
          <w:b w:val="false"/>
          <w:i w:val="false"/>
          <w:color w:val="000000"/>
          <w:sz w:val="22"/>
        </w:rPr>
        <w:t> </w:t>
      </w:r>
      <w:r>
        <w:rPr>
          <w:rFonts w:ascii="Times New Roman" w:hAnsi="Times New Roman"/>
          <w:b w:val="false"/>
          <w:i w:val="false"/>
          <w:color w:val="000000"/>
          <w:sz w:val="22"/>
        </w:rPr>
        <w:t>All licensed dentists must submit a report to the board office within a period of seven days of any mortality related to sedation or nitrous oxide or any other incident related to sedation or nitrous oxide which results in the patient receiving inpatient treatment at a hospital or clinic. The report shall include a complete copy of the patient record and include responses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symptoms of any complications, to include but not be limited to onset, and type of symptoms in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Response of the patient to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 adverse occurrence, when the occurrence is related to the use of sedation or nitrous oxide, may result in disciplinary action.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