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650—27.9</w:t>
      </w:r>
      <w:r>
        <w:rPr>
          <w:rFonts w:ascii="Times New Roman" w:hAnsi="Times New Roman"/>
          <w:b/>
          <w:i w:val="false"/>
          <w:color w:val="000000"/>
          <w:sz w:val="22"/>
        </w:rPr>
        <w:t xml:space="preserve">(153) </w:t>
      </w:r>
      <w:r>
        <w:rPr>
          <w:rFonts w:ascii="Times New Roman" w:hAnsi="Times New Roman"/>
          <w:b/>
          <w:i w:val="false"/>
          <w:color w:val="000000"/>
          <w:sz w:val="22"/>
        </w:rPr>
        <w:t xml:space="preserve">Unethical and unprofessional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27.9(1)</w:t>
      </w:r>
      <w:r>
        <w:rPr>
          <w:rFonts w:ascii="Times New Roman" w:hAnsi="Times New Roman"/>
          <w:b w:val="false"/>
          <w:i w:val="false"/>
          <w:color w:val="000000"/>
          <w:sz w:val="22"/>
        </w:rPr>
        <w:t> </w:t>
      </w:r>
      <w:r>
        <w:rPr>
          <w:rFonts w:ascii="Times New Roman" w:hAnsi="Times New Roman"/>
          <w:b w:val="false"/>
          <w:i w:val="false"/>
          <w:color w:val="000000"/>
          <w:sz w:val="22"/>
        </w:rPr>
        <w:t>Licensee or registrant actions determined by the board to be abusive, coercive, intimidating, harassing, untruthful or threatening in connection with the practice of dentistry shall constitute unethical or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27.9(2)</w:t>
      </w:r>
      <w:r>
        <w:rPr>
          <w:rFonts w:ascii="Times New Roman" w:hAnsi="Times New Roman"/>
          <w:b w:val="false"/>
          <w:i w:val="false"/>
          <w:color w:val="000000"/>
          <w:sz w:val="22"/>
        </w:rPr>
        <w:t> </w:t>
      </w:r>
      <w:r>
        <w:rPr>
          <w:rFonts w:ascii="Times New Roman" w:hAnsi="Times New Roman"/>
          <w:b w:val="false"/>
          <w:i w:val="false"/>
          <w:color w:val="000000"/>
          <w:sz w:val="22"/>
        </w:rPr>
        <w:t>A treatment regimen shall be fully explained and patient authorization obtained before treatment is begun.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registrant determined to be infected with HIV or HBV shall not perform an exposure-prone procedure except as approved by the expert review panel as specified in Iowa Code section </w:t>
      </w:r>
      <w:hyperlink r:id="rId4">
        <w:r>
          <w:rPr>
            <w:rStyle w:val="Hyperlink"/>
            <w:rFonts w:ascii="Times New Roman" w:hAnsi="Times New Roman"/>
            <w:b w:val="false"/>
            <w:i w:val="false"/>
            <w:color w:val="000000"/>
            <w:sz w:val="22"/>
          </w:rPr>
          <w:t>139A.22</w:t>
        </w:r>
      </w:hyperlink>
      <w:r>
        <w:rPr>
          <w:rFonts w:ascii="Times New Roman" w:hAnsi="Times New Roman"/>
          <w:b w:val="false"/>
          <w:i w:val="false"/>
          <w:color w:val="000000"/>
          <w:sz w:val="22"/>
        </w:rPr>
        <w:t>, established by the Iowa department of public health, or if the licensee or registrant works in a hospital setting, the licensee or registrant may elect either the expert review panel established by the hospital or the expert review panel established by the Iowa department of public health for the purpose of making a determination of the circumstances under which the licensee or registrant may perform exposure-prone procedures. The licensee or registrant shall comply with the recommendations of the expert review panel. Failure to do so shall constitute unethical and unprofessional conduct and is grounds for disciplinary action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27.9(4)</w:t>
      </w:r>
      <w:r>
        <w:rPr>
          <w:rFonts w:ascii="Times New Roman" w:hAnsi="Times New Roman"/>
          <w:b w:val="false"/>
          <w:i w:val="false"/>
          <w:color w:val="000000"/>
          <w:sz w:val="22"/>
        </w:rPr>
        <w:t> </w:t>
      </w:r>
      <w:r>
        <w:rPr>
          <w:rFonts w:ascii="Times New Roman" w:hAnsi="Times New Roman"/>
          <w:b w:val="false"/>
          <w:i w:val="false"/>
          <w:color w:val="000000"/>
          <w:sz w:val="22"/>
        </w:rPr>
        <w:t>Knowingly providing false or misleading information to the board or an agent of the board is considered unethical and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27.9(5)</w:t>
      </w:r>
      <w:r>
        <w:rPr>
          <w:rFonts w:ascii="Times New Roman" w:hAnsi="Times New Roman"/>
          <w:b w:val="false"/>
          <w:i w:val="false"/>
          <w:color w:val="000000"/>
          <w:sz w:val="22"/>
        </w:rPr>
        <w:t> </w:t>
      </w:r>
      <w:r>
        <w:rPr>
          <w:rFonts w:ascii="Times New Roman" w:hAnsi="Times New Roman"/>
          <w:b w:val="false"/>
          <w:i w:val="false"/>
          <w:color w:val="000000"/>
          <w:sz w:val="22"/>
        </w:rPr>
        <w:t>Prohibiting a person from filing or interfering with a person’s filing a complaint with the board is considered unethical and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27.9(6)</w:t>
      </w:r>
      <w:r>
        <w:rPr>
          <w:rFonts w:ascii="Times New Roman" w:hAnsi="Times New Roman"/>
          <w:b w:val="false"/>
          <w:i w:val="false"/>
          <w:color w:val="000000"/>
          <w:sz w:val="22"/>
        </w:rPr>
        <w:t> </w:t>
      </w:r>
      <w:r>
        <w:rPr>
          <w:rFonts w:ascii="Times New Roman" w:hAnsi="Times New Roman"/>
          <w:b w:val="false"/>
          <w:i w:val="false"/>
          <w:color w:val="000000"/>
          <w:sz w:val="22"/>
        </w:rPr>
        <w:t>A licensee shall not enter into any agreement with a patient that the patient will not file a complaint with the board.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9218B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9A.2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