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650—27.8</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practitioner announcement of services. </w:t>
      </w:r>
      <w:r>
        <w:rPr>
          <w:rFonts w:ascii="Times New Roman" w:hAnsi="Times New Roman"/>
          <w:b w:val="false"/>
          <w:i w:val="false"/>
          <w:color w:val="000000"/>
          <w:sz w:val="22"/>
        </w:rPr>
        <w:t>General dentists who wish to announce the services available in their practices are permitted to announce the availability of those services so long as they avoid any communications that express or imply specialization. General dentists shall also state that the services are being provided by a general dentist.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