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650—27.7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Representation of care and fees.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Dentists shall not represent the care being rendered to their patients or the fees being charged for providing the care in a false or misleading manner.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who accepts a third-party payment under a copayment plan as payment in full without disclosing to the third-party payer that the patient’s payment portion will not be collected is engaging in deception and misrepresentation by this overbilling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shall not increase a fee to a patient solely because the patient has insurance.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Payments accepted by a dentist under a governmentally funded program, a component or constituent dental society sponsored access program, or a participating agreement entered into under a program of a third party shall not be considered as evidence of overbilling in determining whether a charge to a patient or to another third party on behalf of a patient not covered under any of these programs, constitutes overbilling under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who submits a claim form to a third party reporting incorrect treatment dates is engaged in making unethical, false or misleading representations.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who incorrectly describes a dental procedure on a third party claim form in order to receive a greater payment or incorrectly makes a noncovered procedure appear to be a covered procedure is engaged in making an unethical, false or misleading representation to the third party.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who recommends or performs unnecessary dental services or procedures is engaged in unprofessional conduct.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shall not bill for services not rendered. A dentist shall not be prohibited from billing for those services which have been rendered, for actual costs incurred in the treatment of the patient, or for charges for missed appointments.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shall not bill or draw on a patient’s line of credit prior to services being rendered. A dentist may bill or draw on a patient’s line of credit for those services which have been rendered or for actual costs incurred in the treatment of the patient.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27.7(10)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shall not be prohibited from permitting patients to prepay for services, in whole or in part, on a voluntary basis.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9218B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11/3/10, effective 12/8/10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