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Evidence of incompetent treatment.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Licensees or registrants shall report to the board instances of gross or continually faulty treatment by other licensees or registrants.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Licensees or registrants may provide expert testimony when that testimony is essential to a just and fair disposition of a judicial or administrative action.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