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650—27.4</w:t>
      </w:r>
      <w:r>
        <w:rPr>
          <w:rFonts w:ascii="Times New Roman" w:hAnsi="Times New Roman"/>
          <w:b/>
          <w:i w:val="false"/>
          <w:color w:val="000000"/>
          <w:sz w:val="22"/>
        </w:rPr>
        <w:t xml:space="preserve">(153) </w:t>
      </w:r>
      <w:r>
        <w:rPr>
          <w:rFonts w:ascii="Times New Roman" w:hAnsi="Times New Roman"/>
          <w:b/>
          <w:i w:val="false"/>
          <w:color w:val="000000"/>
          <w:sz w:val="22"/>
        </w:rPr>
        <w:t xml:space="preserve">Consultation and referral.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27.4(1)</w:t>
      </w:r>
      <w:r>
        <w:rPr>
          <w:rFonts w:ascii="Times New Roman" w:hAnsi="Times New Roman"/>
          <w:b w:val="false"/>
          <w:i w:val="false"/>
          <w:color w:val="000000"/>
          <w:sz w:val="22"/>
        </w:rPr>
        <w:t> </w:t>
      </w:r>
      <w:r>
        <w:rPr>
          <w:rFonts w:ascii="Times New Roman" w:hAnsi="Times New Roman"/>
          <w:b w:val="false"/>
          <w:i w:val="false"/>
          <w:color w:val="000000"/>
          <w:sz w:val="22"/>
        </w:rPr>
        <w:t>Dentists shall seek consultation, if possible, whenever the welfare of patients will be safeguarded or advanced by utilizing those practitioners who have special skills, knowledge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27.4(2)</w:t>
      </w:r>
      <w:r>
        <w:rPr>
          <w:rFonts w:ascii="Times New Roman" w:hAnsi="Times New Roman"/>
          <w:b w:val="false"/>
          <w:i w:val="false"/>
          <w:color w:val="000000"/>
          <w:sz w:val="22"/>
        </w:rPr>
        <w:t> </w:t>
      </w:r>
      <w:r>
        <w:rPr>
          <w:rFonts w:ascii="Times New Roman" w:hAnsi="Times New Roman"/>
          <w:b w:val="false"/>
          <w:i w:val="false"/>
          <w:color w:val="000000"/>
          <w:sz w:val="22"/>
        </w:rPr>
        <w:t>The specialist or consulting dentist upon completion of their care shall return the patient, unless the patient expressly states a different preference, to the referring dentist or, if none, to the dentist of record for future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27.4(3)</w:t>
      </w:r>
      <w:r>
        <w:rPr>
          <w:rFonts w:ascii="Times New Roman" w:hAnsi="Times New Roman"/>
          <w:b w:val="false"/>
          <w:i w:val="false"/>
          <w:color w:val="000000"/>
          <w:sz w:val="22"/>
        </w:rPr>
        <w:t> </w:t>
      </w:r>
      <w:r>
        <w:rPr>
          <w:rFonts w:ascii="Times New Roman" w:hAnsi="Times New Roman"/>
          <w:b w:val="false"/>
          <w:i w:val="false"/>
          <w:color w:val="000000"/>
          <w:sz w:val="22"/>
        </w:rPr>
        <w:t>The specialist shall be obliged, when there is no referring dentist and upon completion of the treatment, to inform the patient when there is a need for further dental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27.4(4)</w:t>
      </w:r>
      <w:r>
        <w:rPr>
          <w:rFonts w:ascii="Times New Roman" w:hAnsi="Times New Roman"/>
          <w:b w:val="false"/>
          <w:i w:val="false"/>
          <w:color w:val="000000"/>
          <w:sz w:val="22"/>
        </w:rPr>
        <w:t> </w:t>
      </w:r>
      <w:r>
        <w:rPr>
          <w:rFonts w:ascii="Times New Roman" w:hAnsi="Times New Roman"/>
          <w:b w:val="false"/>
          <w:i w:val="false"/>
          <w:color w:val="000000"/>
          <w:sz w:val="22"/>
        </w:rPr>
        <w:t>A dentist who has a patient referred for a second opinion regarding a diagnosis or treatment plan recommended by the patient’s treating dentist, should render the requested second opinion in accordance with these rules. In the interest of the patient being afforded quality care, the dentist rendering the second opinion should not have a vested interest in the ensuing recommendation.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