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650—27.10</w:t>
      </w:r>
      <w:r>
        <w:rPr>
          <w:rFonts w:ascii="Times New Roman" w:hAnsi="Times New Roman"/>
          <w:b/>
          <w:i w:val="false"/>
          <w:color w:val="000000"/>
          <w:sz w:val="22"/>
        </w:rPr>
        <w:t xml:space="preserve">(153) </w:t>
      </w:r>
      <w:r>
        <w:rPr>
          <w:rFonts w:ascii="Times New Roman" w:hAnsi="Times New Roman"/>
          <w:b/>
          <w:i w:val="false"/>
          <w:color w:val="000000"/>
          <w:sz w:val="22"/>
        </w:rPr>
        <w:t xml:space="preserve">Retirement or discontinuance of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27.10(1)</w:t>
      </w:r>
      <w:r>
        <w:rPr>
          <w:rFonts w:ascii="Times New Roman" w:hAnsi="Times New Roman"/>
          <w:b w:val="false"/>
          <w:i w:val="false"/>
          <w:color w:val="000000"/>
          <w:sz w:val="22"/>
        </w:rPr>
        <w:t> </w:t>
      </w:r>
      <w:r>
        <w:rPr>
          <w:rFonts w:ascii="Times New Roman" w:hAnsi="Times New Roman"/>
          <w:b w:val="false"/>
          <w:i w:val="false"/>
          <w:color w:val="000000"/>
          <w:sz w:val="22"/>
        </w:rPr>
        <w:t>A licensee, upon retirement, or upon discontinuation of the practice of dentistry, or upon leaving or moving from a community, shall notify all active patients in writing, or by publication once a week for three consecutive weeks in a newspaper of general circulation in the community, that the licensee intends to discontinue the practice of dentistry in the community, and shall encourage patients to seek the services of another licensee. The licensee shall make reasonable arrangements with active patients for the transfer of patient records, or copies thereof, to the succeeding licensee. “Active patient” means a person whom the licensee has examined, treated, cared for, or otherwise consulted with during the two-year period prior to retirement, discontinuation of the practice of dentistry, or leaving or moving from a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27.10(2)</w:t>
      </w:r>
      <w:r>
        <w:rPr>
          <w:rFonts w:ascii="Times New Roman" w:hAnsi="Times New Roman"/>
          <w:b w:val="false"/>
          <w:i w:val="false"/>
          <w:color w:val="000000"/>
          <w:sz w:val="22"/>
        </w:rPr>
        <w:t> </w:t>
      </w:r>
      <w:r>
        <w:rPr>
          <w:rFonts w:ascii="Times New Roman" w:hAnsi="Times New Roman"/>
          <w:b w:val="false"/>
          <w:i w:val="false"/>
          <w:color w:val="000000"/>
          <w:sz w:val="22"/>
        </w:rPr>
        <w:t>Nothing herein provided shall prohibit a licensee from conveying or transferring the licensee’s patient records to another licensed dentist who is assuming a practice, provided that written notice is furnished to all patients as hereinbefore specified.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