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Advertisement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recording of every advertisement communicated by electronic media, and a copy of every advertisement communicated by print media indicating the date and place of the advertisement shall be retained by the dentist for a period of two years and be made available for review upon request by the board or its designee.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