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650—26.5</w:t>
      </w:r>
      <w:r>
        <w:rPr>
          <w:rFonts w:ascii="Times New Roman" w:hAnsi="Times New Roman"/>
          <w:b/>
          <w:i w:val="false"/>
          <w:color w:val="000000"/>
          <w:sz w:val="22"/>
        </w:rPr>
        <w:t xml:space="preserve">(153) </w:t>
      </w:r>
      <w:r>
        <w:rPr>
          <w:rFonts w:ascii="Times New Roman" w:hAnsi="Times New Roman"/>
          <w:b/>
          <w:i w:val="false"/>
          <w:color w:val="000000"/>
          <w:sz w:val="22"/>
        </w:rPr>
        <w:t xml:space="preserve">Responsibility. </w:t>
      </w:r>
      <w:r>
        <w:rPr>
          <w:rFonts w:ascii="Times New Roman" w:hAnsi="Times New Roman"/>
          <w:b w:val="false"/>
          <w:i w:val="false"/>
          <w:color w:val="000000"/>
          <w:sz w:val="22"/>
        </w:rPr>
        <w:t>Each professional who is a principal partner, officer, or licensed professional employee, acting as an agent of the firm or entity identified in the advertisement, is jointly and severally responsible for the form and content of any advertisement offering services or materials.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