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650—26.2</w:t>
      </w:r>
      <w:r>
        <w:rPr>
          <w:rFonts w:ascii="Times New Roman" w:hAnsi="Times New Roman"/>
          <w:b/>
          <w:i w:val="false"/>
          <w:color w:val="000000"/>
          <w:sz w:val="22"/>
        </w:rPr>
        <w:t xml:space="preserve">(153) </w:t>
      </w:r>
      <w:r>
        <w:rPr>
          <w:rFonts w:ascii="Times New Roman" w:hAnsi="Times New Roman"/>
          <w:b/>
          <w:i w:val="false"/>
          <w:color w:val="000000"/>
          <w:sz w:val="22"/>
        </w:rPr>
        <w:t xml:space="preserve">Requirements. </w:t>
      </w:r>
      <w:r>
        <w:rPr>
          <w:rFonts w:ascii="Times New Roman" w:hAnsi="Times New Roman"/>
          <w:b w:val="false"/>
          <w:i w:val="false"/>
          <w:color w:val="000000"/>
          <w:sz w:val="22"/>
        </w:rPr>
        <w:t>The board may require a dentist to substantiate the truthfulness of any assertion or representation of material fact set forth in an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w:t>
      </w:r>
      <w:r>
        <w:rPr>
          <w:rFonts w:ascii="Times New Roman" w:hAnsi="Times New Roman"/>
          <w:b w:val="false"/>
          <w:i w:val="false"/>
          <w:color w:val="000000"/>
          <w:sz w:val="22"/>
        </w:rPr>
        <w:t> </w:t>
      </w:r>
      <w:r>
        <w:rPr>
          <w:rFonts w:ascii="Times New Roman" w:hAnsi="Times New Roman"/>
          <w:b w:val="false"/>
          <w:i w:val="false"/>
          <w:color w:val="000000"/>
          <w:sz w:val="22"/>
        </w:rPr>
        <w:t>At the time an advertisement is placed, the dentist must possess and rely upon information which, when produced, would substantiate the truthfulness of any assertion, omission, or representation of material fact set forth in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failure to possess and rely upon the information required in subrule </w:t>
      </w:r>
      <w:hyperlink r:id="rId4">
        <w:r>
          <w:rPr>
            <w:rStyle w:val="Hyperlink"/>
            <w:rFonts w:ascii="Times New Roman" w:hAnsi="Times New Roman"/>
            <w:b w:val="false"/>
            <w:i w:val="false"/>
            <w:color w:val="000000"/>
            <w:sz w:val="22"/>
          </w:rPr>
          <w:t>26.2(1)</w:t>
        </w:r>
      </w:hyperlink>
      <w:r>
        <w:rPr>
          <w:rFonts w:ascii="Times New Roman" w:hAnsi="Times New Roman"/>
          <w:b w:val="false"/>
          <w:i w:val="false"/>
          <w:color w:val="000000"/>
          <w:sz w:val="22"/>
        </w:rPr>
        <w:t xml:space="preserve"> at the time the advertisement is placed shall be deemed professional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w:t>
      </w:r>
      <w:r>
        <w:rPr>
          <w:rFonts w:ascii="Times New Roman" w:hAnsi="Times New Roman"/>
          <w:b w:val="false"/>
          <w:i w:val="false"/>
          <w:color w:val="000000"/>
          <w:sz w:val="22"/>
        </w:rPr>
        <w:t> </w:t>
      </w:r>
      <w:r>
        <w:rPr>
          <w:rFonts w:ascii="Times New Roman" w:hAnsi="Times New Roman"/>
          <w:b w:val="false"/>
          <w:i w:val="false"/>
          <w:color w:val="000000"/>
          <w:sz w:val="22"/>
        </w:rPr>
        <w:t>The failure or refusal to provide the factual substantiation to support a representation or assertion when requested by the board shall be deemed professional misconduct.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26.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