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650—25.9</w:t>
      </w:r>
      <w:r>
        <w:rPr>
          <w:rFonts w:ascii="Times New Roman" w:hAnsi="Times New Roman"/>
          <w:b/>
          <w:i w:val="false"/>
          <w:color w:val="000000"/>
          <w:sz w:val="22"/>
        </w:rPr>
        <w:t xml:space="preserve">(153) </w:t>
      </w:r>
      <w:r>
        <w:rPr>
          <w:rFonts w:ascii="Times New Roman" w:hAnsi="Times New Roman"/>
          <w:b/>
          <w:i w:val="false"/>
          <w:color w:val="000000"/>
          <w:sz w:val="22"/>
        </w:rPr>
        <w:t xml:space="preserve">Designation of continuing education hours. </w:t>
      </w:r>
      <w:r>
        <w:rPr>
          <w:rFonts w:ascii="Times New Roman" w:hAnsi="Times New Roman"/>
          <w:b w:val="false"/>
          <w:i w:val="false"/>
          <w:color w:val="000000"/>
          <w:sz w:val="22"/>
        </w:rPr>
        <w:t>Continuing education hours shall be determined by the length of a continuing education course in clock hours. For the purpose of calculating continuing education hours for renewal of a license or registration,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Attendance at a multiday convention.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Attendees at a multiday convention may receive a maximum of 1.5 hours of credit per day with the maximum of six hours of credit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Sponsors of multiday conventions shall submit to the board for review and prior approval guidelines for awarding credit for convention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Presenters or attendees of table clinics at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Four hours of credit shall be allowed for presentation of an original table clinic at a meeting as verified by the sponsor when the subject matter conforms with rule </w:t>
      </w:r>
      <w:hyperlink r:id="rId4">
        <w:r>
          <w:rPr>
            <w:rStyle w:val="Hyperlink"/>
            <w:rFonts w:ascii="Times New Roman" w:hAnsi="Times New Roman"/>
            <w:b w:val="false"/>
            <w:i w:val="false"/>
            <w:color w:val="000000"/>
            <w:sz w:val="22"/>
          </w:rPr>
          <w:t>650—25.5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Attendees at the table clinic session of a dental, dental hygiene, or dental assisting meeting shall receive two hours of credit as verified by the sponsor when the subject matter conforms with rule </w:t>
      </w:r>
      <w:hyperlink r:id="rId5">
        <w:r>
          <w:rPr>
            <w:rStyle w:val="Hyperlink"/>
            <w:rFonts w:ascii="Times New Roman" w:hAnsi="Times New Roman"/>
            <w:b w:val="false"/>
            <w:i w:val="false"/>
            <w:color w:val="000000"/>
            <w:sz w:val="22"/>
          </w:rPr>
          <w:t>650—25.5(153)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 shall receive 15 credits per semester.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specialty examination or the Dental Assisting National Board (DANB) shall result in 15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w:t>
      </w:r>
      <w:r>
        <w:rPr>
          <w:rFonts w:ascii="Times New Roman" w:hAnsi="Times New Roman"/>
          <w:b w:val="false"/>
          <w:i w:val="false"/>
          <w:color w:val="000000"/>
          <w:sz w:val="22"/>
        </w:rPr>
        <w:t> </w:t>
      </w:r>
      <w:r>
        <w:rPr>
          <w:rFonts w:ascii="Times New Roman" w:hAnsi="Times New Roman"/>
          <w:b w:val="false"/>
          <w:i w:val="false"/>
          <w:color w:val="000000"/>
          <w:sz w:val="22"/>
        </w:rPr>
        <w:t>Self-study activities shall result in a maximum of 12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w:t>
      </w:r>
      <w:r>
        <w:rPr>
          <w:rFonts w:ascii="Times New Roman" w:hAnsi="Times New Roman"/>
          <w:b w:val="false"/>
          <w:i w:val="false"/>
          <w:color w:val="000000"/>
          <w:sz w:val="22"/>
        </w:rPr>
        <w:t> </w:t>
      </w:r>
      <w:r>
        <w:rPr>
          <w:rFonts w:ascii="Times New Roman" w:hAnsi="Times New Roman"/>
          <w:b w:val="false"/>
          <w:i w:val="false"/>
          <w:color w:val="000000"/>
          <w:sz w:val="22"/>
        </w:rPr>
        <w:t>An original presentation of continuing dental education shall result in credit double that which the participants receive. Additional credit will not be granted for the repeating of presentations within the biennium. Credit is not given for teaching that represents part of the licensee’s or registrant’s normal academic duties as a full-time or part-time faculty member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 shall result in 5 hours of credit per article with the maximum of 20 hours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25.9(8)</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Delivery of volunteer dental services in accordance with </w:t>
      </w:r>
      <w:hyperlink r:id="rId6">
        <w:r>
          <w:rPr>
            <w:rStyle w:val="Hyperlink"/>
            <w:rFonts w:ascii="Times New Roman" w:hAnsi="Times New Roman"/>
            <w:b w:val="false"/>
            <w:i w:val="false"/>
            <w:color w:val="000000"/>
            <w:sz w:val="22"/>
          </w:rPr>
          <w:t>paragraph 25.5(2)</w:t>
        </w:r>
      </w:hyperlink>
      <w:r>
        <w:rPr>
          <w:rFonts w:ascii="Times New Roman" w:hAnsi="Times New Roman"/>
          <w:b w:val="false"/>
          <w:i/>
          <w:color w:val="000000"/>
          <w:sz w:val="22"/>
        </w:rPr>
        <w:t>“i”</w:t>
      </w:r>
      <w:r>
        <w:rPr>
          <w:rFonts w:ascii="Times New Roman" w:hAnsi="Times New Roman"/>
          <w:b w:val="false"/>
          <w:i w:val="false"/>
          <w:color w:val="000000"/>
          <w:sz w:val="22"/>
        </w:rPr>
        <w:t xml:space="preserve"> shall result in one hour of continuing education credit for every three hours worked. Dentists and dental hygienists can report a maximum of six hours of credit per biennium of volunteer dental services. Dental assistants can report a maximum of four hours of credit per biennium of volunteer dental services. The volunteer hours must be verified by the free clinic or the organization sponsoring the event where volunteer services are provided.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5.5.pdf" Type="http://schemas.openxmlformats.org/officeDocument/2006/relationships/hyperlink" Id="rId4"/>
    <Relationship TargetMode="External" Target="https://www.legis.iowa.gov/docs/iac/rule/650.25.5.pdf" Type="http://schemas.openxmlformats.org/officeDocument/2006/relationships/hyperlink" Id="rId5"/>
    <Relationship TargetMode="External" Target="https://www.legis.iowa.gov/docs/iac/rule/650.25.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