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650—25.8</w:t>
      </w:r>
      <w:r>
        <w:rPr>
          <w:rFonts w:ascii="Times New Roman" w:hAnsi="Times New Roman"/>
          <w:b/>
          <w:i w:val="false"/>
          <w:color w:val="000000"/>
          <w:sz w:val="22"/>
        </w:rPr>
        <w:t xml:space="preserve">(153) </w:t>
      </w:r>
      <w:r>
        <w:rPr>
          <w:rFonts w:ascii="Times New Roman" w:hAnsi="Times New Roman"/>
          <w:b/>
          <w:i w:val="false"/>
          <w:color w:val="000000"/>
          <w:sz w:val="22"/>
        </w:rPr>
        <w:t xml:space="preserve">Postapproval of activities. </w:t>
      </w:r>
      <w:r>
        <w:rPr>
          <w:rFonts w:ascii="Times New Roman" w:hAnsi="Times New Roman"/>
          <w:b w:val="false"/>
          <w:i w:val="false"/>
          <w:color w:val="000000"/>
          <w:sz w:val="22"/>
        </w:rPr>
        <w:t xml:space="preserve">A licensee or registrant seeking credit for attendance and participation in an educational activity which was not conducted by an approved sponsor or otherwise approved and which does not clearly meet the acceptable programs and activities listed in rule </w:t>
      </w:r>
      <w:hyperlink r:id="rId4">
        <w:r>
          <w:rPr>
            <w:rStyle w:val="Hyperlink"/>
            <w:rFonts w:ascii="Times New Roman" w:hAnsi="Times New Roman"/>
            <w:b w:val="false"/>
            <w:i w:val="false"/>
            <w:color w:val="000000"/>
            <w:sz w:val="22"/>
          </w:rPr>
          <w:t>650—25.5(153)</w:t>
        </w:r>
      </w:hyperlink>
      <w:r>
        <w:rPr>
          <w:rFonts w:ascii="Times New Roman" w:hAnsi="Times New Roman"/>
          <w:b w:val="false"/>
          <w:i w:val="false"/>
          <w:color w:val="000000"/>
          <w:sz w:val="22"/>
        </w:rPr>
        <w:t xml:space="preserve"> may apply for approval to the board using board-approved forms. Within 90 days after receipt of such application, the board shall advise the licensee or registrant in writing whether the activity is approved and the number of hours allowed. All requests may be reviewed by the advisory committee on continuing education prior to final approval or denial by the board. An application fee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is required.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5.5.pdf" Type="http://schemas.openxmlformats.org/officeDocument/2006/relationships/hyperlink" Id="rId4"/>
    <Relationship TargetMode="External" Target="https://www.legis.iowa.gov/docs/iac/chapter/650.1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