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650—25.7</w:t>
      </w:r>
      <w:r>
        <w:rPr>
          <w:rFonts w:ascii="Times New Roman" w:hAnsi="Times New Roman"/>
          <w:b/>
          <w:i w:val="false"/>
          <w:color w:val="000000"/>
          <w:sz w:val="22"/>
        </w:rPr>
        <w:t xml:space="preserve">(153) </w:t>
      </w:r>
      <w:r>
        <w:rPr>
          <w:rFonts w:ascii="Times New Roman" w:hAnsi="Times New Roman"/>
          <w:b/>
          <w:i w:val="false"/>
          <w:color w:val="000000"/>
          <w:sz w:val="22"/>
        </w:rPr>
        <w:t xml:space="preserve">Prior approval of activities. </w:t>
      </w:r>
      <w:r>
        <w:rPr>
          <w:rFonts w:ascii="Times New Roman" w:hAnsi="Times New Roman"/>
          <w:b w:val="false"/>
          <w:i w:val="false"/>
          <w:color w:val="000000"/>
          <w:sz w:val="22"/>
        </w:rPr>
        <w:t xml:space="preserve">A person or organization, other than an approved sponsor, that desires prior approval for a course, program or other continuing education activity or that desires to establish approval of the activity prior to attendance may apply for approval to the board, using board-approved forms, at least 90 days in advance of the commencement of the activity. Within 90 days after receipt of such application, the board shall advise the licensee or registrant in writing whether the activity is approved and the number of hours allowed. All requests may be reviewed by the advisory committee on continuing education prior to final approval or denial by the board. An application fee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is required. Continuing education course approval shall be valid for a period of five years following the date of board approval. Thereafter, courses may be resubmitted for approval. Courses which clearly meet the criteria listed under acceptable programs and activities are not required to be submitted for approval.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