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650—25.6</w:t>
      </w:r>
      <w:r>
        <w:rPr>
          <w:rFonts w:ascii="Times New Roman" w:hAnsi="Times New Roman"/>
          <w:b/>
          <w:i w:val="false"/>
          <w:color w:val="000000"/>
          <w:sz w:val="22"/>
        </w:rPr>
        <w:t xml:space="preserve">(153) </w:t>
      </w:r>
      <w:r>
        <w:rPr>
          <w:rFonts w:ascii="Times New Roman" w:hAnsi="Times New Roman"/>
          <w:b/>
          <w:i w:val="false"/>
          <w:color w:val="000000"/>
          <w:sz w:val="22"/>
        </w:rPr>
        <w:t xml:space="preserve">Unacceptable programs and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w:t>
      </w:r>
      <w:r>
        <w:rPr>
          <w:rFonts w:ascii="Times New Roman" w:hAnsi="Times New Roman"/>
          <w:b w:val="false"/>
          <w:i w:val="false"/>
          <w:color w:val="000000"/>
          <w:sz w:val="22"/>
        </w:rPr>
        <w:t> </w:t>
      </w:r>
      <w:r>
        <w:rPr>
          <w:rFonts w:ascii="Times New Roman" w:hAnsi="Times New Roman"/>
          <w:b w:val="false"/>
          <w:i w:val="false"/>
          <w:color w:val="000000"/>
          <w:sz w:val="22"/>
        </w:rPr>
        <w:t>Unacceptable subject matter and activity types include, but are not limited to, personal development, business aspects of practice, business strategy, financial management, marketing, sales, practice growth, personnel management, insurance, and collective bargaining. While desirable, those subjects and activities are not applicable to dental skills, knowledge, and competence. Therefore, such courses will receive no credit toward renewal. The board may deny credit for any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25.6(2)</w:t>
      </w:r>
      <w:r>
        <w:rPr>
          <w:rFonts w:ascii="Times New Roman" w:hAnsi="Times New Roman"/>
          <w:b w:val="false"/>
          <w:i w:val="false"/>
          <w:color w:val="000000"/>
          <w:sz w:val="22"/>
        </w:rPr>
        <w:t> </w:t>
      </w:r>
      <w:r>
        <w:rPr>
          <w:rFonts w:ascii="Times New Roman" w:hAnsi="Times New Roman"/>
          <w:b w:val="false"/>
          <w:i w:val="false"/>
          <w:color w:val="000000"/>
          <w:sz w:val="22"/>
        </w:rPr>
        <w:t>Inquiries relating to acceptability of continuing dental education activities, approval of sponsors, or exemptions should be directed to Advisory Committee on Continuing Dental Education, Iowa Dental Board, 400 S.W. 8th Street, Suite D, Des Moines, Iowa 50309-4687.</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5318C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