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650—25.5</w:t>
      </w:r>
      <w:r>
        <w:rPr>
          <w:rFonts w:ascii="Times New Roman" w:hAnsi="Times New Roman"/>
          <w:b/>
          <w:i w:val="false"/>
          <w:color w:val="000000"/>
          <w:sz w:val="22"/>
        </w:rPr>
        <w:t xml:space="preserve">(153) </w:t>
      </w:r>
      <w:r>
        <w:rPr>
          <w:rFonts w:ascii="Times New Roman" w:hAnsi="Times New Roman"/>
          <w:b/>
          <w:i w:val="false"/>
          <w:color w:val="000000"/>
          <w:sz w:val="22"/>
        </w:rPr>
        <w:t xml:space="preserve">Acceptable programs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A continuing education activity shall be acceptable and not require board approval if it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constitutes an organized program of learning (including a workshop or symposium) which contributes directly to the professional competency of the licensee or registrant and is of value to dentistry and applicable to oral health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pertains to common subjects or other subject matters which relate to the practice of dentistry, dental hygiene, or dental assisting which are intended to refresh and review, or update knowledge of new or existing concepts and techniques, and enhance the dental health of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conducted by individuals who have sufficient special education, training and experience to be considered experts concerning the subject matter of the program. The program must include a written outline or manual that substantively pertains to the subject matter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Types of activities acceptable for continuing dental education credit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dental science course that includes topics which address the clinical practice of dentistry, dental hygiene, dental assisting and dental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in record keeping, medical conditions which may have an effect on oral health, ergonomics related to clinical practice, HIPAA, risk management, sexual boundaries, communication with patients, OSHA regulations, and the discontinuation of practice related to the transition of patient care and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Sessions attended at a multiday convention-type meeting. A multiday convention-type meeting is held at a national, state, or regional level and involves a variety of concurrent educational experiences directly related to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Postgraduate study relating to health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recognized specialty examination or the Dental Assisting National Board (DANB)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Self-study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Original presentation of continuing dental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Publication of scientific articles in professional journals related to dentistry, dental hygiene, or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Delivery of volunteer dental services without compensation through a free clinic, the purpose of which is the delivery of health care services to low-income or underserved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Credit may be given for other continuing education activities upon request and approval by the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5318C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