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650—25.3</w:t>
      </w:r>
      <w:r>
        <w:rPr>
          <w:rFonts w:ascii="Times New Roman" w:hAnsi="Times New Roman"/>
          <w:b/>
          <w:i w:val="false"/>
          <w:color w:val="000000"/>
          <w:sz w:val="22"/>
        </w:rPr>
        <w:t xml:space="preserve">(153) </w:t>
      </w:r>
      <w:r>
        <w:rPr>
          <w:rFonts w:ascii="Times New Roman" w:hAnsi="Times New Roman"/>
          <w:b/>
          <w:i w:val="false"/>
          <w:color w:val="000000"/>
          <w:sz w:val="22"/>
        </w:rPr>
        <w:t xml:space="preserve">Documentation of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val="false"/>
          <w:color w:val="000000"/>
          <w:sz w:val="22"/>
        </w:rPr>
        <w:t>Every licensee or registrant shall maintain a record of all courses attended by keeping the certificates of attendance for four years. The board reserves the right to require any licensee or registrant to submit the certificates of attendance for the continuing education courses attended. If selected for continuing education audit, the licensee or registrant shall file a signed continuing education form and submit certificates or other evidence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are responsible for obtaining proof of attendance forms when attending courses. Clock hours must be verified by the sponsor with the issuance of proof of attendance forms to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report the number of continuing education credit hours completed during the current renewal cycle in compliance with this chapter. Such report shall be filed with the board at the time of application for renewal of a dental or dental hygiene license or renewal of dental assistant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val="false"/>
          <w:color w:val="000000"/>
          <w:sz w:val="22"/>
        </w:rPr>
        <w:t>No carryover of credits from one biennial period to the next will be allowed.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