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650—25.14</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hygiene continuing education. </w:t>
      </w:r>
      <w:r>
        <w:rPr>
          <w:rFonts w:ascii="Times New Roman" w:hAnsi="Times New Roman"/>
          <w:b w:val="false"/>
          <w:i w:val="false"/>
          <w:color w:val="000000"/>
          <w:sz w:val="22"/>
        </w:rPr>
        <w:t xml:space="preserve">The dental hygiene committee, in its discretion, shall make recommendations to the board for approval or denial of requests pertaining to dental hygiene education. The dental hygiene committee may utilize the continuing education advisory committee as needed. The board’s review of the dental hygiene committee recommendation is subject to </w:t>
      </w:r>
      <w:hyperlink r:id="rId4">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 The following items pertaining to dental hygiene shall be forwarded to the dental hygiene committee for review.</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Dental hygiene continuing education requirements and requests for approval of programs, activities and sponsors.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Requests by dental hygienists for waivers, extensions and exemptions of the continuing education requirements.</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 xml:space="preserve">Requests for reinstatement from lapsed dental hygiene practitioners. </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 xml:space="preserve">Appeals of denial of dental hygiene continuing education and conduct of hearings as necessary.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