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650—25.13</w:t>
      </w:r>
      <w:r>
        <w:rPr>
          <w:rFonts w:ascii="Times New Roman" w:hAnsi="Times New Roman"/>
          <w:b/>
          <w:i w:val="false"/>
          <w:color w:val="000000"/>
          <w:sz w:val="22"/>
        </w:rPr>
        <w:t xml:space="preserve">(153) </w:t>
      </w:r>
      <w:r>
        <w:rPr>
          <w:rFonts w:ascii="Times New Roman" w:hAnsi="Times New Roman"/>
          <w:b/>
          <w:i w:val="false"/>
          <w:color w:val="000000"/>
          <w:sz w:val="22"/>
        </w:rPr>
        <w:t xml:space="preserve">Noncompliance with continuing dental education requirements. </w:t>
      </w:r>
      <w:r>
        <w:rPr>
          <w:rFonts w:ascii="Times New Roman" w:hAnsi="Times New Roman"/>
          <w:b w:val="false"/>
          <w:i w:val="false"/>
          <w:color w:val="000000"/>
          <w:sz w:val="22"/>
        </w:rPr>
        <w:t>It is the licensee’s or registrant’s personal responsibility to comply with these rules. The license or registration of individuals not complying with the continuing dental education rules may be subject to disciplinary action by the board or nonrenewal of the license or registration.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