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650—25.12</w:t>
      </w:r>
      <w:r>
        <w:rPr>
          <w:rFonts w:ascii="Times New Roman" w:hAnsi="Times New Roman"/>
          <w:b/>
          <w:i w:val="false"/>
          <w:color w:val="000000"/>
          <w:sz w:val="22"/>
        </w:rPr>
        <w:t xml:space="preserve">(153) </w:t>
      </w:r>
      <w:r>
        <w:rPr>
          <w:rFonts w:ascii="Times New Roman" w:hAnsi="Times New Roman"/>
          <w:b/>
          <w:i w:val="false"/>
          <w:color w:val="000000"/>
          <w:sz w:val="22"/>
        </w:rPr>
        <w:t xml:space="preserve">Review of programs or sponsors. </w:t>
      </w:r>
      <w:r>
        <w:rPr>
          <w:rFonts w:ascii="Times New Roman" w:hAnsi="Times New Roman"/>
          <w:b w:val="false"/>
          <w:i w:val="false"/>
          <w:color w:val="000000"/>
          <w:sz w:val="22"/>
        </w:rPr>
        <w:t xml:space="preserve">The board on its own motion or at the recommendation of the advisory committee on continuing education may monitor or review any continuing education program or sponsors already approved by the board. Upon evidence of a failure to meet the requirements of rule </w:t>
      </w:r>
      <w:hyperlink r:id="rId4">
        <w:r>
          <w:rPr>
            <w:rStyle w:val="Hyperlink"/>
            <w:rFonts w:ascii="Times New Roman" w:hAnsi="Times New Roman"/>
            <w:b w:val="false"/>
            <w:i w:val="false"/>
            <w:color w:val="000000"/>
            <w:sz w:val="22"/>
          </w:rPr>
          <w:t>650—25.11</w:t>
        </w:r>
      </w:hyperlink>
      <w:r>
        <w:rPr>
          <w:rFonts w:ascii="Times New Roman" w:hAnsi="Times New Roman"/>
          <w:b w:val="false"/>
          <w:i w:val="false"/>
          <w:color w:val="000000"/>
          <w:sz w:val="22"/>
        </w:rPr>
        <w:t xml:space="preserve">(153), the board may revoke the approval status of the sponsor. Upon evidence of significant variation in the program presented from the program approved, the board may deny all or any part of the approved hours granted to the program. A provider that wishes to appeal the board’s decision regarding revocation of approval status or denial of continuing education credit shall file an appeal within 30 days of the board’s decision. A timely appeal shall initiate a contested case proceeding. The contested case shall be conducted pursuant to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650—Chapter 51</w:t>
        </w:r>
      </w:hyperlink>
      <w:r>
        <w:rPr>
          <w:rFonts w:ascii="Times New Roman" w:hAnsi="Times New Roman"/>
          <w:b w:val="false"/>
          <w:i w:val="false"/>
          <w:color w:val="000000"/>
          <w:sz w:val="22"/>
        </w:rPr>
        <w:t>. The written decision issued at the conclusion of a contested case hearing shall be considered final agency action.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25.11.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ac/chapter/650.5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