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650—25.11</w:t>
      </w:r>
      <w:r>
        <w:rPr>
          <w:rFonts w:ascii="Times New Roman" w:hAnsi="Times New Roman"/>
          <w:b/>
          <w:i w:val="false"/>
          <w:color w:val="000000"/>
          <w:sz w:val="22"/>
        </w:rPr>
        <w:t xml:space="preserve">(153) </w:t>
      </w:r>
      <w:r>
        <w:rPr>
          <w:rFonts w:ascii="Times New Roman" w:hAnsi="Times New Roman"/>
          <w:b/>
          <w:i w:val="false"/>
          <w:color w:val="000000"/>
          <w:sz w:val="22"/>
        </w:rPr>
        <w:t xml:space="preserve">Approval of sponsors.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25.11(1)</w:t>
      </w:r>
      <w:r>
        <w:rPr>
          <w:rFonts w:ascii="Times New Roman" w:hAnsi="Times New Roman"/>
          <w:b w:val="false"/>
          <w:i w:val="false"/>
          <w:color w:val="000000"/>
          <w:sz w:val="22"/>
        </w:rPr>
        <w:t> </w:t>
      </w:r>
      <w:r>
        <w:rPr>
          <w:rFonts w:ascii="Times New Roman" w:hAnsi="Times New Roman"/>
          <w:b w:val="false"/>
          <w:i w:val="false"/>
          <w:color w:val="000000"/>
          <w:sz w:val="22"/>
        </w:rPr>
        <w:t>An organization or person which desires approval as a sponsor of courses, programs, or other continuing education activities shall apply for approval to the board stating its education history, including approximate dates, subjects offered, total hours of instruction presented, and names and qualifications of instructors. All applications shall be reviewed by the advisory committee on continuing education prior to final approval or denial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25.11(2)</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sponsors must apply to the board using approved forms in order to obtain approved sponsor status. An application fee as specified in </w:t>
      </w:r>
      <w:hyperlink r:id="rId4">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is required. Sponsors must pay the biennial renewal fee as specified in </w:t>
      </w:r>
      <w:hyperlink r:id="rId5">
        <w:r>
          <w:rPr>
            <w:rStyle w:val="Hyperlink"/>
            <w:rFonts w:ascii="Times New Roman" w:hAnsi="Times New Roman"/>
            <w:b w:val="false"/>
            <w:i w:val="false"/>
            <w:color w:val="000000"/>
            <w:sz w:val="22"/>
          </w:rPr>
          <w:t>650—Chapter 15</w:t>
        </w:r>
      </w:hyperlink>
      <w:r>
        <w:rPr>
          <w:rFonts w:ascii="Times New Roman" w:hAnsi="Times New Roman"/>
          <w:b w:val="false"/>
          <w:i w:val="false"/>
          <w:color w:val="000000"/>
          <w:sz w:val="22"/>
        </w:rPr>
        <w:t xml:space="preserve"> and file a sponsor recertification record report biennially.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25.11(3)</w:t>
      </w:r>
      <w:r>
        <w:rPr>
          <w:rFonts w:ascii="Times New Roman" w:hAnsi="Times New Roman"/>
          <w:b w:val="false"/>
          <w:i w:val="false"/>
          <w:color w:val="000000"/>
          <w:sz w:val="22"/>
        </w:rPr>
        <w:t> </w:t>
      </w:r>
      <w:r>
        <w:rPr>
          <w:rFonts w:ascii="Times New Roman" w:hAnsi="Times New Roman"/>
          <w:b w:val="false"/>
          <w:i w:val="false"/>
          <w:color w:val="000000"/>
          <w:sz w:val="22"/>
        </w:rPr>
        <w:t>The person or organization sponsoring continuing education activities shall make a written record of the Iowa licensees or registrants in attendance, maintain the written record for a minimum of five years, and submit the record upon the request of the board. The sponsor of the continuing education activity shall also provide proof of attendance and the number of credit hours awarded to the licensee or registrant who participates in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25.11(4)</w:t>
      </w:r>
      <w:r>
        <w:rPr>
          <w:rFonts w:ascii="Times New Roman" w:hAnsi="Times New Roman"/>
          <w:b w:val="false"/>
          <w:i w:val="false"/>
          <w:color w:val="000000"/>
          <w:sz w:val="22"/>
        </w:rPr>
        <w:t> </w:t>
      </w:r>
      <w:r>
        <w:rPr>
          <w:rFonts w:ascii="Times New Roman" w:hAnsi="Times New Roman"/>
          <w:b w:val="false"/>
          <w:i w:val="false"/>
          <w:color w:val="000000"/>
          <w:sz w:val="22"/>
        </w:rPr>
        <w:t>Sponsors must be formally organized and adhere to board rules for planning and providing continuing dental education activities. Programs sponsored by individuals or institutions for commercial or proprietary purposes, especially programs in which the speaker advertises or urges the use of any particular dental product or appliance, may be recognized for credit on a prior-approval basis only. When courses are promoted as approved continuing education courses which do not meet the requirements as defined by the board, the sponsor will be required to refund the registration fee to the participants. Approved sponsors may offer noncredit courses provided the participants have been informed that no credit will be given. Failure to meet this requirement may result in loss of approved sponsor status.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3489C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6303C</w:t>
      </w:r>
      <w:r>
        <w:rPr>
          <w:rFonts w:ascii="Times New Roman" w:hAnsi="Times New Roman"/>
          <w:b w:val="false"/>
          <w:i w:val="false"/>
          <w:color w:val="000000"/>
          <w:sz w:val="16"/>
        </w:rPr>
        <w:t>, IAB 4/20/22, effective 5/25/22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50.15.pdf" Type="http://schemas.openxmlformats.org/officeDocument/2006/relationships/hyperlink" Id="rId4"/>
    <Relationship TargetMode="External" Target="https://www.legis.iowa.gov/docs/iac/chapter/650.1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