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650—25.10</w:t>
      </w:r>
      <w:r>
        <w:rPr>
          <w:rFonts w:ascii="Times New Roman" w:hAnsi="Times New Roman"/>
          <w:b/>
          <w:i w:val="false"/>
          <w:color w:val="000000"/>
          <w:sz w:val="22"/>
        </w:rPr>
        <w:t xml:space="preserve">(153) </w:t>
      </w:r>
      <w:r>
        <w:rPr>
          <w:rFonts w:ascii="Times New Roman" w:hAnsi="Times New Roman"/>
          <w:b/>
          <w:i w:val="false"/>
          <w:color w:val="000000"/>
          <w:sz w:val="22"/>
        </w:rPr>
        <w:t xml:space="preserve">Extensions and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25.10(1)</w:t>
      </w:r>
      <w:r>
        <w:rPr>
          <w:rFonts w:ascii="Times New Roman" w:hAnsi="Times New Roman"/>
          <w:b w:val="false"/>
          <w:i w:val="false"/>
          <w:color w:val="000000"/>
          <w:sz w:val="22"/>
        </w:rPr>
        <w:t> </w:t>
      </w:r>
      <w:r>
        <w:rPr>
          <w:rFonts w:ascii="Times New Roman" w:hAnsi="Times New Roman"/>
          <w:b w:val="false"/>
          <w:i/>
          <w:color w:val="000000"/>
          <w:sz w:val="22"/>
        </w:rPr>
        <w:t xml:space="preserve">Illness or disability. </w:t>
      </w:r>
      <w:r>
        <w:rPr>
          <w:rFonts w:ascii="Times New Roman" w:hAnsi="Times New Roman"/>
          <w:b w:val="false"/>
          <w:i w:val="false"/>
          <w:color w:val="000000"/>
          <w:sz w:val="22"/>
        </w:rPr>
        <w:t>The board may, in individual cases involving physical disability or illness, grant an exemption of the continuing education requirements or an extension of time within which to fulfill the same or make the required reports. No exemption or extension of time shall be granted unless written application is made on forms provided by the board and signed by the licensee or registrant and a licensed health care professional. Extensions or exemptions of the continuing education requirements may be granted by the board for any period of time not to exceed one calendar year. In the event that the physical disability or illness upon which an exemption has been granted continues beyond the period granted, the licensee or registrant must apply for an extension of the exemption. The board may, as a condition of the exemption, require the applicant to make up a certain portion or all of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25.10(2)</w:t>
      </w:r>
      <w:r>
        <w:rPr>
          <w:rFonts w:ascii="Times New Roman" w:hAnsi="Times New Roman"/>
          <w:b w:val="false"/>
          <w:i w:val="false"/>
          <w:color w:val="000000"/>
          <w:sz w:val="22"/>
        </w:rPr>
        <w:t> </w:t>
      </w:r>
      <w:r>
        <w:rPr>
          <w:rFonts w:ascii="Times New Roman" w:hAnsi="Times New Roman"/>
          <w:b w:val="false"/>
          <w:i/>
          <w:color w:val="000000"/>
          <w:sz w:val="22"/>
        </w:rPr>
        <w:t xml:space="preserve">Other extensions or exemptions. </w:t>
      </w:r>
      <w:r>
        <w:rPr>
          <w:rFonts w:ascii="Times New Roman" w:hAnsi="Times New Roman"/>
          <w:b w:val="false"/>
          <w:i w:val="false"/>
          <w:color w:val="000000"/>
          <w:sz w:val="22"/>
        </w:rPr>
        <w:t>Extensions or exemptions of continuing education requirements will be considered by the board on an individual basis. Licensees or registrants will be exempt from the continuing education requirements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serves honorably on active duty in the military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practices the person’s profession in another state or district having a continuing education requirement and the licensee or registrant meets all requirements of that state or district for practice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is a government employee working in the person’s licensed or registered specialty and assigned to duty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periods of active practice and absence from the state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current biennium renewal period, or portion thereof, following original issuance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dental assistants registered pursuant to rule </w:t>
      </w:r>
      <w:hyperlink r:id="rId4">
        <w:r>
          <w:rPr>
            <w:rStyle w:val="Hyperlink"/>
            <w:rFonts w:ascii="Times New Roman" w:hAnsi="Times New Roman"/>
            <w:b w:val="false"/>
            <w:i w:val="false"/>
            <w:color w:val="000000"/>
            <w:sz w:val="22"/>
          </w:rPr>
          <w:t>650—20.6</w:t>
        </w:r>
      </w:hyperlink>
      <w:r>
        <w:rPr>
          <w:rFonts w:ascii="Times New Roman" w:hAnsi="Times New Roman"/>
          <w:b w:val="false"/>
          <w:i w:val="false"/>
          <w:color w:val="000000"/>
          <w:sz w:val="22"/>
        </w:rPr>
        <w:t>(153), the current biennium renewal period, or portion thereof, following original issuance of the registration.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20.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