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650—20.7</w:t>
      </w:r>
      <w:r>
        <w:rPr>
          <w:rFonts w:ascii="Times New Roman" w:hAnsi="Times New Roman"/>
          <w:b/>
          <w:i w:val="false"/>
          <w:color w:val="000000"/>
          <w:sz w:val="22"/>
        </w:rPr>
        <w:t xml:space="preserve">(153) </w:t>
      </w:r>
      <w:r>
        <w:rPr>
          <w:rFonts w:ascii="Times New Roman" w:hAnsi="Times New Roman"/>
          <w:b/>
          <w:i w:val="false"/>
          <w:color w:val="000000"/>
          <w:sz w:val="22"/>
        </w:rPr>
        <w:t xml:space="preserve">Unlawful practice. </w:t>
      </w:r>
      <w:r>
        <w:rPr>
          <w:rFonts w:ascii="Times New Roman" w:hAnsi="Times New Roman"/>
          <w:b w:val="false"/>
          <w:i w:val="false"/>
          <w:color w:val="000000"/>
          <w:sz w:val="22"/>
        </w:rPr>
        <w:t>A dental assistant who assists a dentist in practicing dentistry in any capacity other than as a person supervised by a dentist in a dental office, or who directly or indirectly procures a licensed dentist to act as nominal owner, proprietor or director of a dental office as a guise or subterfuge to enable such dental assistant to engage directly or indirectly in the practice of dentistry, or who performs dental service directly or indirectly on or for members of the public other than as a person working for a dentist shall be deemed to be practicing dentistry without a license.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