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650—20.4</w:t>
      </w:r>
      <w:r>
        <w:rPr>
          <w:rFonts w:ascii="Times New Roman" w:hAnsi="Times New Roman"/>
          <w:b/>
          <w:i w:val="false"/>
          <w:color w:val="000000"/>
          <w:sz w:val="22"/>
        </w:rPr>
        <w:t xml:space="preserve">(153) </w:t>
      </w:r>
      <w:r>
        <w:rPr>
          <w:rFonts w:ascii="Times New Roman" w:hAnsi="Times New Roman"/>
          <w:b/>
          <w:i w:val="false"/>
          <w:color w:val="000000"/>
          <w:sz w:val="22"/>
        </w:rPr>
        <w:t xml:space="preserve">Scope of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In all instances, a dentist assumes responsibility for determining, on the basis of diagnosis, the specific treatment patients will receive and which aspects of treatment may be delegated to qualified personnel as authorized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A licensed dentist may delegate to a dental assistant those procedures for which the dental assistant has received training. This delegation shall be based on the best interests of the patient. Such services shall be delegated by and performed under the supervision of a licensed dentist and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and removal of dry socket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Placement of periodontal dressings;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pulp vitality;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Preliminary charting of existing dental restorations and teeth;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Glucose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Phlebotomy;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Expanded function procedures in accordance with </w:t>
      </w:r>
      <w:hyperlink r:id="rId4">
        <w:r>
          <w:rPr>
            <w:rStyle w:val="Hyperlink"/>
            <w:rFonts w:ascii="Times New Roman" w:hAnsi="Times New Roman"/>
            <w:b w:val="false"/>
            <w:i w:val="false"/>
            <w:color w:val="000000"/>
            <w:sz w:val="22"/>
          </w:rPr>
          <w:t>650—Chapter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dentist shall exercise supervision and shall be fully responsible for all acts performed by a dental assistant. A dentist may not delegate to a dental assistant any of the following, unless allowed pursuant to </w:t>
      </w:r>
      <w:hyperlink r:id="rId5">
        <w:r>
          <w:rPr>
            <w:rStyle w:val="Hyperlink"/>
            <w:rFonts w:ascii="Times New Roman" w:hAnsi="Times New Roman"/>
            <w:b w:val="false"/>
            <w:i w:val="false"/>
            <w:color w:val="000000"/>
            <w:sz w:val="22"/>
          </w:rPr>
          <w:t>650—Chapter 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Diagnosis, examination, treatment planning, or prescription, including prescription for drugs and medicaments or authorization for restorative, prosthodontic or orthodontic appliances.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Surgical procedures on hard and soft tissues within the oral cavity and any other intraoral procedure that contributes to or results in an irreversible alteration to the oral anatomy.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Administration of local anesthesia.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Placement of sealants.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Removal of any plaque, stain, or hard natural or synthetic material except by toothbrush, floss, or rubber cup coronal polish, or removal of any calculus.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Dental radiography, unless the assistant is qualified pursuant to </w:t>
      </w:r>
      <w:hyperlink r:id="rId6">
        <w:r>
          <w:rPr>
            <w:rStyle w:val="Hyperlink"/>
            <w:rFonts w:ascii="Times New Roman" w:hAnsi="Times New Roman"/>
            <w:b w:val="false"/>
            <w:i w:val="false"/>
            <w:color w:val="000000"/>
            <w:sz w:val="22"/>
          </w:rPr>
          <w:t>650—Chapter 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Those procedures that require the professional judgment and skill of a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val="false"/>
          <w:color w:val="000000"/>
          <w:sz w:val="22"/>
        </w:rPr>
        <w:t>A dental assistant may perform duties consistent with these rules under the supervision of a licensed dentist. The specific duties dental assistants may perform are based upon: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education of the dental assistant.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experience of the dental assistant.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2028C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 xml:space="preserve">; </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4676C</w:t>
      </w:r>
      <w:r>
        <w:rPr>
          <w:rFonts w:ascii="Times New Roman" w:hAnsi="Times New Roman"/>
          <w:b w:val="false"/>
          <w:i w:val="false"/>
          <w:color w:val="000000"/>
          <w:sz w:val="16"/>
        </w:rPr>
        <w:t>, IAB 9/25/19, effective 10/30/19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23.pdf" Type="http://schemas.openxmlformats.org/officeDocument/2006/relationships/hyperlink" Id="rId4"/>
    <Relationship TargetMode="External" Target="https://www.legis.iowa.gov/docs/iac/chapter/650.23.pdf" Type="http://schemas.openxmlformats.org/officeDocument/2006/relationships/hyperlink" Id="rId5"/>
    <Relationship TargetMode="External" Target="https://www.legis.iowa.gov/docs/iac/chapter/650.22.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