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650—20.3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(153) </w:t>
      </w:r>
      <w:r>
        <w:rPr>
          <w:rFonts w:ascii="Times New Roman" w:hAnsi="Times New Roman"/>
          <w:b/>
          <w:i w:val="false"/>
          <w:color w:val="000000"/>
          <w:sz w:val="22"/>
        </w:rPr>
        <w:t xml:space="preserve">Dental assistants.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20.3(1)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Dental assistant trainee. 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a.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Dental assistant trainees are individuals who are engaging in on-the-job training to meet the requirements for registration and who are learning the necessary skills under the personal supervision of a licensee or registrant. Trainees who are 18 years of age or older may also engage in on-the-job training in dental radiography pursuant to rule </w:t>
      </w:r>
      <w:hyperlink r:id="rId4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650—22.3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(136C,153).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/>
          <w:color w:val="000000"/>
          <w:sz w:val="22"/>
        </w:rPr>
        <w:t>b.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The dental assistant trainee shall: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(1)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Successfully complete on-the-job training and examinations in the areas of infection control, hazardous materials, and jurisprudence.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  </w:t>
      </w:r>
      <w:r>
        <w:rPr>
          <w:rFonts w:ascii="Times New Roman" w:hAnsi="Times New Roman"/>
          <w:b w:val="false"/>
          <w:i w:val="false"/>
          <w:color w:val="000000"/>
          <w:sz w:val="22"/>
        </w:rPr>
        <w:t>If the trainee fails to become registered by the trainee status expiration date, stop work as a dental assistant trainee.</w:t>
      </w:r>
    </w:p>
    <w:p>
      <w:pPr>
        <w:spacing w:before="0" w:after="0"/>
        <w:ind w:left="120"/>
        <w:jc w:val="both"/>
      </w:pPr>
      <w:r>
        <w:rPr>
          <w:rFonts w:ascii="Times New Roman" w:hAnsi="Times New Roman"/>
          <w:b w:val="false"/>
          <w:i w:val="false"/>
          <w:color w:val="000000"/>
          <w:sz w:val="22"/>
        </w:rPr>
        <w:t>    </w:t>
      </w:r>
      <w:r>
        <w:rPr>
          <w:rFonts w:ascii="Times New Roman" w:hAnsi="Times New Roman"/>
          <w:b/>
          <w:i w:val="false"/>
          <w:color w:val="000000"/>
          <w:sz w:val="22"/>
        </w:rPr>
        <w:t>20.3(2)</w:t>
      </w:r>
      <w:r>
        <w:rPr>
          <w:rFonts w:ascii="Times New Roman" w:hAnsi="Times New Roman"/>
          <w:b w:val="false"/>
          <w:i w:val="false"/>
          <w:color w:val="000000"/>
          <w:sz w:val="22"/>
        </w:rPr>
        <w:t> </w:t>
      </w:r>
      <w:r>
        <w:rPr>
          <w:rFonts w:ascii="Times New Roman" w:hAnsi="Times New Roman"/>
          <w:b w:val="false"/>
          <w:i/>
          <w:color w:val="000000"/>
          <w:sz w:val="22"/>
        </w:rPr>
        <w:t xml:space="preserve">Registered dental assistant. </w:t>
      </w:r>
      <w:r>
        <w:rPr>
          <w:rFonts w:ascii="Times New Roman" w:hAnsi="Times New Roman"/>
          <w:b w:val="false"/>
          <w:i w:val="false"/>
          <w:color w:val="000000"/>
          <w:sz w:val="22"/>
        </w:rPr>
        <w:t xml:space="preserve">Registered dental assistants are individuals who have met the requirements for registration and have been issued a certificate of registration. A registered dental assistant may, under direct supervision, assist a dentist in performing duties assigned by the dentist that are consistent with these rules. The registered dental assistant may take radiographs if qualified pursuant to </w:t>
      </w:r>
      <w:hyperlink r:id="rId5">
        <w:r>
          <w:rPr>
            <w:rStyle w:val="Hyperlink"/>
            <w:rFonts w:ascii="Times New Roman" w:hAnsi="Times New Roman"/>
            <w:b w:val="false"/>
            <w:i w:val="false"/>
            <w:color w:val="000000"/>
            <w:sz w:val="22"/>
          </w:rPr>
          <w:t>650—Chapter 22</w:t>
        </w:r>
      </w:hyperlink>
      <w:r>
        <w:rPr>
          <w:rFonts w:ascii="Times New Roman" w:hAnsi="Times New Roman"/>
          <w:b w:val="false"/>
          <w:i w:val="false"/>
          <w:color w:val="000000"/>
          <w:sz w:val="22"/>
        </w:rPr>
        <w:t>.</w:t>
      </w:r>
    </w:p>
    <w:p>
      <w:pPr>
        <w:spacing w:before="0" w:after="0" w:line="240"/>
        <w:ind w:left="120"/>
        <w:jc w:val="left"/>
      </w:pPr>
      <w:r>
        <w:rPr>
          <w:rFonts w:ascii="Times New Roman" w:hAnsi="Times New Roman"/>
          <w:b w:val="false"/>
          <w:i w:val="false"/>
          <w:color w:val="000000"/>
          <w:sz w:val="16"/>
        </w:rPr>
        <w:t>[</w:t>
      </w:r>
      <w:r>
        <w:rPr>
          <w:rFonts w:ascii="Times New Roman" w:hAnsi="Times New Roman"/>
          <w:b/>
          <w:i w:val="false"/>
          <w:color w:val="000000"/>
          <w:sz w:val="16"/>
        </w:rPr>
        <w:t>ARC 6673C</w:t>
      </w:r>
      <w:r>
        <w:rPr>
          <w:rFonts w:ascii="Times New Roman" w:hAnsi="Times New Roman"/>
          <w:b w:val="false"/>
          <w:i w:val="false"/>
          <w:color w:val="000000"/>
          <w:sz w:val="16"/>
        </w:rPr>
        <w:t>, IAB 11/16/22, effective 12/21/22</w:t>
      </w:r>
      <w:r>
        <w:rPr>
          <w:rFonts w:ascii="Times New Roman" w:hAnsi="Times New Roman"/>
          <w:b w:val="false"/>
          <w:i w:val="false"/>
          <w:color w:val="000000"/>
          <w:sz w:val="16"/>
        </w:rPr>
        <w:t>]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    <Relationship TargetMode="External" Target="https://www.legis.iowa.gov/docs/iac/rule/650.22.3.pdf" Type="http://schemas.openxmlformats.org/officeDocument/2006/relationships/hyperlink" Id="rId4"/>
    <Relationship TargetMode="External" Target="https://www.legis.iowa.gov/docs/iac/chapter/650.22.pdf" Type="http://schemas.openxmlformats.org/officeDocument/2006/relationships/hyperlink" Id="rId5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