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650—20.2</w:t>
      </w:r>
      <w:r>
        <w:rPr>
          <w:rFonts w:ascii="Times New Roman" w:hAnsi="Times New Roman"/>
          <w:b/>
          <w:i w:val="false"/>
          <w:color w:val="000000"/>
          <w:sz w:val="22"/>
        </w:rPr>
        <w:t xml:space="preserve">(153)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“Dental assistant” </w:t>
      </w:r>
      <w:r>
        <w:rPr>
          <w:rFonts w:ascii="Times New Roman" w:hAnsi="Times New Roman"/>
          <w:b w:val="false"/>
          <w:i w:val="false"/>
          <w:color w:val="000000"/>
          <w:sz w:val="22"/>
        </w:rPr>
        <w:t>means any person who, under the supervision of a dentist, performs any extraoral services including infection control or the use of hazardous materials or performs any intraoral services on patients. The term “dental assistant” does not include persons otherwise actively licensed in Iowa to practice dental hygiene or nursing who are engaged in the practice of said profession.</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“Dental assistant trainee” </w:t>
      </w:r>
      <w:r>
        <w:rPr>
          <w:rFonts w:ascii="Times New Roman" w:hAnsi="Times New Roman"/>
          <w:b w:val="false"/>
          <w:i w:val="false"/>
          <w:color w:val="000000"/>
          <w:sz w:val="22"/>
        </w:rPr>
        <w:t xml:space="preserve">means any person who is engaging in on-the-job training to meet the requirements for registration in accordance with Iowa Code section </w:t>
      </w:r>
      <w:hyperlink r:id="rId4">
        <w:r>
          <w:rPr>
            <w:rStyle w:val="Hyperlink"/>
            <w:rFonts w:ascii="Times New Roman" w:hAnsi="Times New Roman"/>
            <w:b w:val="false"/>
            <w:i w:val="false"/>
            <w:color w:val="000000"/>
            <w:sz w:val="22"/>
          </w:rPr>
          <w:t>153.39</w:t>
        </w:r>
      </w:hyperlink>
      <w:r>
        <w:rPr>
          <w:rFonts w:ascii="Times New Roman" w:hAnsi="Times New Roman"/>
          <w:b w:val="false"/>
          <w:i w:val="false"/>
          <w:color w:val="000000"/>
          <w:sz w:val="22"/>
        </w:rPr>
        <w:t xml:space="preserve"> and who is learning the necessary skills under the personal supervision of a licensee or registrant. Trainees who are 18 years of age or older may also engage in on-the-job training in dental radiography pursuant to rule </w:t>
      </w:r>
      <w:hyperlink r:id="rId5">
        <w:r>
          <w:rPr>
            <w:rStyle w:val="Hyperlink"/>
            <w:rFonts w:ascii="Times New Roman" w:hAnsi="Times New Roman"/>
            <w:b w:val="false"/>
            <w:i w:val="false"/>
            <w:color w:val="000000"/>
            <w:sz w:val="22"/>
          </w:rPr>
          <w:t>650—22.3</w:t>
        </w:r>
      </w:hyperlink>
      <w:r>
        <w:rPr>
          <w:rFonts w:ascii="Times New Roman" w:hAnsi="Times New Roman"/>
          <w:b w:val="false"/>
          <w:i w:val="false"/>
          <w:color w:val="000000"/>
          <w:sz w:val="22"/>
        </w:rPr>
        <w:t>(136C,153).</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“Public health supervision” </w:t>
      </w:r>
      <w:r>
        <w:rPr>
          <w:rFonts w:ascii="Times New Roman" w:hAnsi="Times New Roman"/>
          <w:b w:val="false"/>
          <w:i w:val="false"/>
          <w:color w:val="000000"/>
          <w:sz w:val="22"/>
        </w:rPr>
        <w:t>means all of the following:</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The dentist authorizes and delegates the services provided by a registered dental assistant to a patient in a public health setting, with the exception that services may be rendered without the patient’s first being examined by a licensed dentist;</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The dentist is not required to provide future dental treatment to patients served under public health supervision;</w:t>
      </w:r>
    </w:p>
    <w:p>
      <w:pPr>
        <w:spacing w:before="0" w:after="0"/>
        <w:ind w:left="120"/>
        <w:jc w:val="left"/>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dentist and the registered dental assistant have entered into a written supervision agreement that details the responsibilities of each licensee/registrant, as specified in subrule </w:t>
      </w:r>
      <w:hyperlink r:id="rId6">
        <w:r>
          <w:rPr>
            <w:rStyle w:val="Hyperlink"/>
            <w:rFonts w:ascii="Times New Roman" w:hAnsi="Times New Roman"/>
            <w:b w:val="false"/>
            <w:i w:val="false"/>
            <w:color w:val="000000"/>
            <w:sz w:val="22"/>
          </w:rPr>
          <w:t>20.9(2)</w:t>
        </w:r>
      </w:hyperlink>
      <w:r>
        <w:rPr>
          <w:rFonts w:ascii="Times New Roman" w:hAnsi="Times New Roman"/>
          <w:b w:val="false"/>
          <w:i w:val="false"/>
          <w:color w:val="000000"/>
          <w:sz w:val="22"/>
        </w:rPr>
        <w:t>; and</w:t>
      </w:r>
    </w:p>
    <w:p>
      <w:pPr>
        <w:spacing w:before="0" w:after="0"/>
        <w:ind w:left="120"/>
        <w:jc w:val="left"/>
      </w:pPr>
      <w:r>
        <w:rPr>
          <w:rFonts w:ascii="Times New Roman" w:hAnsi="Times New Roman"/>
          <w:b w:val="false"/>
          <w:i w:val="false"/>
          <w:color w:val="000000"/>
          <w:sz w:val="22"/>
        </w:rPr>
        <w:t>     4.   </w:t>
      </w:r>
      <w:r>
        <w:rPr>
          <w:rFonts w:ascii="Times New Roman" w:hAnsi="Times New Roman"/>
          <w:b w:val="false"/>
          <w:i w:val="false"/>
          <w:color w:val="000000"/>
          <w:sz w:val="22"/>
        </w:rPr>
        <w:t>The registered dental assistant has an active Iowa registration and a minimum of one year of clinical practice experience.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“Registered dental assistant” </w:t>
      </w:r>
      <w:r>
        <w:rPr>
          <w:rFonts w:ascii="Times New Roman" w:hAnsi="Times New Roman"/>
          <w:b w:val="false"/>
          <w:i w:val="false"/>
          <w:color w:val="000000"/>
          <w:sz w:val="22"/>
        </w:rPr>
        <w:t>means any person who has met the requirements for registration and has been issued a certificate of registration.</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“Trainee status expiration date” </w:t>
      </w:r>
      <w:r>
        <w:rPr>
          <w:rFonts w:ascii="Times New Roman" w:hAnsi="Times New Roman"/>
          <w:b w:val="false"/>
          <w:i w:val="false"/>
          <w:color w:val="000000"/>
          <w:sz w:val="22"/>
        </w:rPr>
        <w:t>means 12 months from the date of employment as a dental assistant trainee.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8369B</w:t>
      </w:r>
      <w:r>
        <w:rPr>
          <w:rFonts w:ascii="Times New Roman" w:hAnsi="Times New Roman"/>
          <w:b w:val="false"/>
          <w:i w:val="false"/>
          <w:color w:val="000000"/>
          <w:sz w:val="16"/>
        </w:rPr>
        <w:t>, IAB 12/16/09, effective 1/20/10</w:t>
      </w:r>
      <w:r>
        <w:rPr>
          <w:rFonts w:ascii="Times New Roman" w:hAnsi="Times New Roman"/>
          <w:b w:val="false"/>
          <w:i w:val="false"/>
          <w:color w:val="000000"/>
          <w:sz w:val="16"/>
        </w:rPr>
        <w:t xml:space="preserve">; </w:t>
      </w:r>
      <w:r>
        <w:rPr>
          <w:rFonts w:ascii="Times New Roman" w:hAnsi="Times New Roman"/>
          <w:b/>
          <w:i w:val="false"/>
          <w:color w:val="000000"/>
          <w:sz w:val="16"/>
        </w:rPr>
        <w:t>ARC 0465C</w:t>
      </w:r>
      <w:r>
        <w:rPr>
          <w:rFonts w:ascii="Times New Roman" w:hAnsi="Times New Roman"/>
          <w:b w:val="false"/>
          <w:i w:val="false"/>
          <w:color w:val="000000"/>
          <w:sz w:val="16"/>
        </w:rPr>
        <w:t>, IAB 11/28/12, effective 1/2/13</w:t>
      </w:r>
      <w:r>
        <w:rPr>
          <w:rFonts w:ascii="Times New Roman" w:hAnsi="Times New Roman"/>
          <w:b w:val="false"/>
          <w:i w:val="false"/>
          <w:color w:val="000000"/>
          <w:sz w:val="16"/>
        </w:rPr>
        <w:t xml:space="preserve">; </w:t>
      </w:r>
      <w:r>
        <w:rPr>
          <w:rFonts w:ascii="Times New Roman" w:hAnsi="Times New Roman"/>
          <w:b/>
          <w:i w:val="false"/>
          <w:color w:val="000000"/>
          <w:sz w:val="16"/>
        </w:rPr>
        <w:t>ARC 2028C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3489C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4948C</w:t>
      </w:r>
      <w:r>
        <w:rPr>
          <w:rFonts w:ascii="Times New Roman" w:hAnsi="Times New Roman"/>
          <w:b w:val="false"/>
          <w:i w:val="false"/>
          <w:color w:val="000000"/>
          <w:sz w:val="16"/>
        </w:rPr>
        <w:t>, IAB 2/26/20, effective 4/1/20</w:t>
      </w:r>
      <w:r>
        <w:rPr>
          <w:rFonts w:ascii="Times New Roman" w:hAnsi="Times New Roman"/>
          <w:b w:val="false"/>
          <w:i w:val="false"/>
          <w:color w:val="000000"/>
          <w:sz w:val="16"/>
        </w:rPr>
        <w:t xml:space="preserve">; </w:t>
      </w:r>
      <w:r>
        <w:rPr>
          <w:rFonts w:ascii="Times New Roman" w:hAnsi="Times New Roman"/>
          <w:b/>
          <w:i w:val="false"/>
          <w:color w:val="000000"/>
          <w:sz w:val="16"/>
        </w:rPr>
        <w:t>ARC 6673C</w:t>
      </w:r>
      <w:r>
        <w:rPr>
          <w:rFonts w:ascii="Times New Roman" w:hAnsi="Times New Roman"/>
          <w:b w:val="false"/>
          <w:i w:val="false"/>
          <w:color w:val="000000"/>
          <w:sz w:val="16"/>
        </w:rPr>
        <w:t>, IAB 11/16/22, effective 12/21/22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53.39.pdf" Type="http://schemas.openxmlformats.org/officeDocument/2006/relationships/hyperlink" Id="rId4"/>
    <Relationship TargetMode="External" Target="https://www.legis.iowa.gov/docs/iac/rule/650.22.3.pdf" Type="http://schemas.openxmlformats.org/officeDocument/2006/relationships/hyperlink" Id="rId5"/>
    <Relationship TargetMode="External" Target="https://www.legis.iowa.gov/docs/iac/rule/650.20.9.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