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650—20.10</w:t>
      </w:r>
      <w:r>
        <w:rPr>
          <w:rFonts w:ascii="Times New Roman" w:hAnsi="Times New Roman"/>
          <w:b/>
          <w:i w:val="false"/>
          <w:color w:val="000000"/>
          <w:sz w:val="22"/>
        </w:rPr>
        <w:t xml:space="preserve">(153) </w:t>
      </w:r>
      <w:r>
        <w:rPr>
          <w:rFonts w:ascii="Times New Roman" w:hAnsi="Times New Roman"/>
          <w:b/>
          <w:i w:val="false"/>
          <w:color w:val="000000"/>
          <w:sz w:val="22"/>
        </w:rPr>
        <w:t xml:space="preserve">Students enrolled in dental assisting programs. </w:t>
      </w:r>
      <w:r>
        <w:rPr>
          <w:rFonts w:ascii="Times New Roman" w:hAnsi="Times New Roman"/>
          <w:b w:val="false"/>
          <w:i w:val="false"/>
          <w:color w:val="000000"/>
          <w:sz w:val="22"/>
        </w:rPr>
        <w:t>Students enrolled in an accredited dental assisting program are not considered to be engaged in the unlawful practice of dental assisting provided that such practice is in connection with their regular course of instruction and meets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practice of clinical skills on peers enrolled in the same program must be under the direct supervision of a program instructor with an active Iowa dental assistant registration, Iowa dental hygiene license, Iowa faculty permit, or Iowa dental license;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practice of clinical skills on members of the public must be under the direct supervision of a dentist with an active Iowa dental license.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2593C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