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650—16.4</w:t>
      </w:r>
      <w:r>
        <w:rPr>
          <w:rFonts w:ascii="Times New Roman" w:hAnsi="Times New Roman"/>
          <w:b/>
          <w:i w:val="false"/>
          <w:color w:val="000000"/>
          <w:sz w:val="22"/>
        </w:rPr>
        <w:t xml:space="preserve">(153)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 Prior to January 1, 2020, a prescription drug order may be written or transmitted to a pharmacy orally, by fax, or through electronic prescribing in accordance with applicable federal and state laws. A dentist shall take adequate measures to prevent prescription forgery from occurring. Beginning January 1, 2020, all prescription drug orders, including prescriptions for controlled substances, must be electronically prescribed unless exempted. Beginning January 1, 2020, a dentist who fails to comply with the electronic prescription mandate may be subject to a nondisciplinary administrative penalty of $250 per violation, up to a maximum of $5,000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delegate to a licensed dental hygienist or registered dental assistant the preparation of a prescription for the review, authorization, and manual or electronic signature of the dentist, but the dentist is responsible for the accuracy, completeness, and validity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shall securely maintain the unique authentication credentials issued to the dentist for utilization of the electronic prescription application and authentication of the dentist’s electronic signature. Unique authentication credentials issued to any individual shall not be shared with or disclosed to any other individual.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