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650—16.3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Dispensing—requirements for containers and labeling.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16.3(1)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Containers.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prescription drug shall be dispensed in a suitable container designed to protect its integrity in accordance with all applicable federal and state laws.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16.3(2)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Labeling.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label shall be affixed to the container in which a prescription drug is dispensed bearing the following information: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Name and address of the dentist.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Name of the patient.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Date dispensed.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Directions for use.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5.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Name, quantity, and strength of medication.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6.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it is Schedule II, III, or IV controlled substance, the federal transfer warning statement must appear on the label as follows: “Caution: Federal law prohibits the transfer of this drug to any person other than the patient for whom it was prescribed.”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7.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Cautionary statements, if any.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8369B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12/16/09, effective 1/20/10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4409C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4/24/19, effective 5/29/19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