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650—16.2</w:t>
      </w:r>
      <w:r>
        <w:rPr>
          <w:rFonts w:ascii="Times New Roman" w:hAnsi="Times New Roman"/>
          <w:b/>
          <w:i w:val="false"/>
          <w:color w:val="000000"/>
          <w:sz w:val="22"/>
        </w:rPr>
        <w:t xml:space="preserve">(153) </w:t>
      </w:r>
      <w:r>
        <w:rPr>
          <w:rFonts w:ascii="Times New Roman" w:hAnsi="Times New Roman"/>
          <w:b/>
          <w:i w:val="false"/>
          <w:color w:val="000000"/>
          <w:sz w:val="22"/>
        </w:rPr>
        <w:t xml:space="preserve">Scope of authority and prescribing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w:t>
      </w:r>
      <w:r>
        <w:rPr>
          <w:rFonts w:ascii="Times New Roman" w:hAnsi="Times New Roman"/>
          <w:b w:val="false"/>
          <w:i w:val="false"/>
          <w:color w:val="000000"/>
          <w:sz w:val="22"/>
        </w:rPr>
        <w:t> </w:t>
      </w:r>
      <w:r>
        <w:rPr>
          <w:rFonts w:ascii="Times New Roman" w:hAnsi="Times New Roman"/>
          <w:b w:val="false"/>
          <w:i w:val="false"/>
          <w:color w:val="000000"/>
          <w:sz w:val="22"/>
        </w:rPr>
        <w:t>A license to practice dentistry issued by this board permits the licensee to prescribe, administer, or dispense prescription drugs if the use is directly related to the practice of dentistry and is within the scope of the dentist-patient relationship. Registration with the federal Drug Enforcement Administration and the Iowa board of pharmacy further extends this privilege to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16.2(2)</w:t>
      </w:r>
      <w:r>
        <w:rPr>
          <w:rFonts w:ascii="Times New Roman" w:hAnsi="Times New Roman"/>
          <w:b w:val="false"/>
          <w:i w:val="false"/>
          <w:color w:val="000000"/>
          <w:sz w:val="22"/>
        </w:rPr>
        <w:t> </w:t>
      </w:r>
      <w:r>
        <w:rPr>
          <w:rFonts w:ascii="Times New Roman" w:hAnsi="Times New Roman"/>
          <w:b w:val="false"/>
          <w:i w:val="false"/>
          <w:color w:val="000000"/>
          <w:sz w:val="22"/>
        </w:rPr>
        <w:t xml:space="preserve"> Prescribing by a licensed dentist must be directly related to the practice of dentistry. A dental examination and medical history must be taken before a dentist initially prescribes, administers, or dispenses a prescription drug to a patient, except for patients who receive fluoride dispensed under protocols approved by the bureau of oral and health delivery systems of the department of public health. A prescription drug prescribed, administered, or dispensed by a licensed dentist must be for a diagnosed condition and be included in a dental treatment plan. The patient’s dental record must contain written evidence of the examination and medical history.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16.2(3)</w:t>
      </w:r>
      <w:r>
        <w:rPr>
          <w:rFonts w:ascii="Times New Roman" w:hAnsi="Times New Roman"/>
          <w:b w:val="false"/>
          <w:i w:val="false"/>
          <w:color w:val="000000"/>
          <w:sz w:val="22"/>
        </w:rPr>
        <w:t> </w:t>
      </w:r>
      <w:r>
        <w:rPr>
          <w:rFonts w:ascii="Times New Roman" w:hAnsi="Times New Roman"/>
          <w:b w:val="false"/>
          <w:i w:val="false"/>
          <w:color w:val="000000"/>
          <w:sz w:val="22"/>
        </w:rPr>
        <w:t>On each occasion when a prescription drug is prescribed, administered, or dispensed to a patient, an entry must be made in the patient’s dental record containing the following information: the name, quantity, and strength of the prescription drug; the directions for its use; the date of issuance; and the condition for which the prescription drug was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16.2(4)</w:t>
      </w:r>
      <w:r>
        <w:rPr>
          <w:rFonts w:ascii="Times New Roman" w:hAnsi="Times New Roman"/>
          <w:b w:val="false"/>
          <w:i w:val="false"/>
          <w:color w:val="000000"/>
          <w:sz w:val="22"/>
        </w:rPr>
        <w:t> </w:t>
      </w:r>
      <w:r>
        <w:rPr>
          <w:rFonts w:ascii="Times New Roman" w:hAnsi="Times New Roman"/>
          <w:b w:val="false"/>
          <w:i w:val="false"/>
          <w:color w:val="000000"/>
          <w:sz w:val="22"/>
        </w:rPr>
        <w:t>The prescribing, administering, and dispensing of prescription drugs shall be done in accordance with all applicable state and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16.2(5)</w:t>
      </w:r>
      <w:r>
        <w:rPr>
          <w:rFonts w:ascii="Times New Roman" w:hAnsi="Times New Roman"/>
          <w:b w:val="false"/>
          <w:i w:val="false"/>
          <w:color w:val="000000"/>
          <w:sz w:val="22"/>
        </w:rPr>
        <w:t> </w:t>
      </w:r>
      <w:r>
        <w:rPr>
          <w:rFonts w:ascii="Times New Roman" w:hAnsi="Times New Roman"/>
          <w:b w:val="false"/>
          <w:i w:val="false"/>
          <w:color w:val="000000"/>
          <w:sz w:val="22"/>
        </w:rPr>
        <w:t>When controlled substances are purchased, administered, or dispensed, a dentist shall maintain records and accountability in accordance with 657—Chapter 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16.2(6)</w:t>
      </w:r>
      <w:r>
        <w:rPr>
          <w:rFonts w:ascii="Times New Roman" w:hAnsi="Times New Roman"/>
          <w:b w:val="false"/>
          <w:i w:val="false"/>
          <w:color w:val="000000"/>
          <w:sz w:val="22"/>
        </w:rPr>
        <w:t> </w:t>
      </w:r>
      <w:r>
        <w:rPr>
          <w:rFonts w:ascii="Times New Roman" w:hAnsi="Times New Roman"/>
          <w:b w:val="false"/>
          <w:i w:val="false"/>
          <w:color w:val="000000"/>
          <w:sz w:val="22"/>
        </w:rPr>
        <w:t>A dentist shall not self-prescribe or self-administer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16.2(7)</w:t>
      </w:r>
      <w:r>
        <w:rPr>
          <w:rFonts w:ascii="Times New Roman" w:hAnsi="Times New Roman"/>
          <w:b w:val="false"/>
          <w:i w:val="false"/>
          <w:color w:val="000000"/>
          <w:sz w:val="22"/>
        </w:rPr>
        <w:t> </w:t>
      </w:r>
      <w:r>
        <w:rPr>
          <w:rFonts w:ascii="Times New Roman" w:hAnsi="Times New Roman"/>
          <w:b w:val="false"/>
          <w:i w:val="false"/>
          <w:color w:val="000000"/>
          <w:sz w:val="22"/>
        </w:rPr>
        <w:t>Prescribing, administering, or dispensing controlled substances to members of the licensee’s immediate family is prohibited, except in the case of an acute dental condition or on an emergency basis for a dental condition when the licensee conducts an examination, establishes a patient record, and maintains proper documentation.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3987C</w:t>
      </w:r>
      <w:r>
        <w:rPr>
          <w:rFonts w:ascii="Times New Roman" w:hAnsi="Times New Roman"/>
          <w:b w:val="false"/>
          <w:i w:val="false"/>
          <w:color w:val="000000"/>
          <w:sz w:val="16"/>
        </w:rPr>
        <w:t>, IAB 8/29/18, effective 10/3/18</w:t>
      </w:r>
      <w:r>
        <w:rPr>
          <w:rFonts w:ascii="Times New Roman" w:hAnsi="Times New Roman"/>
          <w:b w:val="false"/>
          <w:i w:val="false"/>
          <w:color w:val="000000"/>
          <w:sz w:val="16"/>
        </w:rPr>
        <w:t xml:space="preserve">; </w:t>
      </w:r>
      <w:r>
        <w:rPr>
          <w:rFonts w:ascii="Times New Roman" w:hAnsi="Times New Roman"/>
          <w:b/>
          <w:i w:val="false"/>
          <w:color w:val="000000"/>
          <w:sz w:val="16"/>
        </w:rPr>
        <w:t>ARC 4409C</w:t>
      </w:r>
      <w:r>
        <w:rPr>
          <w:rFonts w:ascii="Times New Roman" w:hAnsi="Times New Roman"/>
          <w:b w:val="false"/>
          <w:i w:val="false"/>
          <w:color w:val="000000"/>
          <w:sz w:val="16"/>
        </w:rPr>
        <w:t>, IAB 4/24/19, effective 5/29/19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