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650—15.8</w:t>
      </w:r>
      <w:r>
        <w:rPr>
          <w:rFonts w:ascii="Times New Roman" w:hAnsi="Times New Roman"/>
          <w:b/>
          <w:i w:val="false"/>
          <w:color w:val="000000"/>
          <w:sz w:val="22"/>
        </w:rPr>
        <w:t xml:space="preserve">(153) </w:t>
      </w:r>
      <w:r>
        <w:rPr>
          <w:rFonts w:ascii="Times New Roman" w:hAnsi="Times New Roman"/>
          <w:b/>
          <w:i w:val="false"/>
          <w:color w:val="000000"/>
          <w:sz w:val="22"/>
        </w:rPr>
        <w:t xml:space="preserve">Miscellaneous fees. </w:t>
      </w:r>
      <w:r>
        <w:rPr>
          <w:rFonts w:ascii="Times New Roman" w:hAnsi="Times New Roman"/>
          <w:b w:val="false"/>
          <w:i w:val="false"/>
          <w:color w:val="000000"/>
          <w:sz w:val="22"/>
        </w:rPr>
        <w:t xml:space="preserve">Payments made to the Iowa Dental Board, which shall be considered a repayment receipt as defined in Iowa Code section </w:t>
      </w:r>
      <w:hyperlink r:id="rId4">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shall be received in the board office prior to release of the requested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color w:val="000000"/>
          <w:sz w:val="22"/>
        </w:rPr>
        <w:t xml:space="preserve">Duplicates. </w:t>
      </w:r>
      <w:r>
        <w:rPr>
          <w:rFonts w:ascii="Times New Roman" w:hAnsi="Times New Roman"/>
          <w:b w:val="false"/>
          <w:i w:val="false"/>
          <w:color w:val="000000"/>
          <w:sz w:val="22"/>
        </w:rPr>
        <w:t>The fee for issuance of a hard-copy duplicate license, permit or registration certificate or current renewal is $25. Electronic copies are provided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or verification. </w:t>
      </w:r>
      <w:r>
        <w:rPr>
          <w:rFonts w:ascii="Times New Roman" w:hAnsi="Times New Roman"/>
          <w:b w:val="false"/>
          <w:i w:val="false"/>
          <w:color w:val="000000"/>
          <w:sz w:val="22"/>
        </w:rPr>
        <w:t>The fee for a written certification or written verification of an Iowa license, permit or registration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w:t>
      </w:r>
      <w:r>
        <w:rPr>
          <w:rFonts w:ascii="Times New Roman" w:hAnsi="Times New Roman"/>
          <w:b w:val="false"/>
          <w:i w:val="false"/>
          <w:color w:val="000000"/>
          <w:sz w:val="22"/>
        </w:rPr>
        <w:t> </w:t>
      </w:r>
      <w:r>
        <w:rPr>
          <w:rFonts w:ascii="Times New Roman" w:hAnsi="Times New Roman"/>
          <w:b w:val="false"/>
          <w:i/>
          <w:color w:val="000000"/>
          <w:sz w:val="22"/>
        </w:rPr>
        <w:t xml:space="preserve">Trainee manual. </w:t>
      </w:r>
      <w:r>
        <w:rPr>
          <w:rFonts w:ascii="Times New Roman" w:hAnsi="Times New Roman"/>
          <w:b w:val="false"/>
          <w:i w:val="false"/>
          <w:color w:val="000000"/>
          <w:sz w:val="22"/>
        </w:rPr>
        <w:t>The fee for the dental assistant trainee manual is $70.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w:t>
      </w:r>
      <w:r>
        <w:rPr>
          <w:rFonts w:ascii="Times New Roman" w:hAnsi="Times New Roman"/>
          <w:b w:val="false"/>
          <w:i w:val="false"/>
          <w:color w:val="000000"/>
          <w:sz w:val="22"/>
        </w:rPr>
        <w:t> </w:t>
      </w:r>
      <w:r>
        <w:rPr>
          <w:rFonts w:ascii="Times New Roman" w:hAnsi="Times New Roman"/>
          <w:b w:val="false"/>
          <w:i/>
          <w:color w:val="000000"/>
          <w:sz w:val="22"/>
        </w:rPr>
        <w:t xml:space="preserve">Fingerprint packet and criminal history background check. </w:t>
      </w:r>
      <w:r>
        <w:rPr>
          <w:rFonts w:ascii="Times New Roman" w:hAnsi="Times New Roman"/>
          <w:b w:val="false"/>
          <w:i w:val="false"/>
          <w:color w:val="000000"/>
          <w:sz w:val="22"/>
        </w:rPr>
        <w:t>The fee for evaluation of a fingerprint packet and the criminal history background checks is $46.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15.8(5)</w:t>
      </w:r>
      <w:r>
        <w:rPr>
          <w:rFonts w:ascii="Times New Roman" w:hAnsi="Times New Roman"/>
          <w:b w:val="false"/>
          <w:i w:val="false"/>
          <w:color w:val="000000"/>
          <w:sz w:val="22"/>
        </w:rPr>
        <w:t> </w:t>
      </w:r>
      <w:r>
        <w:rPr>
          <w:rFonts w:ascii="Times New Roman" w:hAnsi="Times New Roman"/>
          <w:b w:val="false"/>
          <w:i/>
          <w:color w:val="000000"/>
          <w:sz w:val="22"/>
        </w:rPr>
        <w:t xml:space="preserve">IPRC monitoring. </w:t>
      </w:r>
      <w:r>
        <w:rPr>
          <w:rFonts w:ascii="Times New Roman" w:hAnsi="Times New Roman"/>
          <w:b w:val="false"/>
          <w:i w:val="false"/>
          <w:color w:val="000000"/>
          <w:sz w:val="22"/>
        </w:rPr>
        <w:t xml:space="preserve">The fee for monitoring for compliance with an IPRC agreement is $100 per quarter, unless otherwise stated in the Iowa practitioner program contract entered into pursuant to </w:t>
      </w:r>
      <w:hyperlink r:id="rId5">
        <w:r>
          <w:rPr>
            <w:rStyle w:val="Hyperlink"/>
            <w:rFonts w:ascii="Times New Roman" w:hAnsi="Times New Roman"/>
            <w:b w:val="false"/>
            <w:i w:val="false"/>
            <w:color w:val="000000"/>
            <w:sz w:val="22"/>
          </w:rPr>
          <w:t>650—Chapter 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w:t>
      </w:r>
      <w:r>
        <w:rPr>
          <w:rFonts w:ascii="Times New Roman" w:hAnsi="Times New Roman"/>
          <w:b w:val="false"/>
          <w:i w:val="false"/>
          <w:color w:val="000000"/>
          <w:sz w:val="22"/>
        </w:rPr>
        <w:t> </w:t>
      </w:r>
      <w:r>
        <w:rPr>
          <w:rFonts w:ascii="Times New Roman" w:hAnsi="Times New Roman"/>
          <w:b w:val="false"/>
          <w:i/>
          <w:color w:val="000000"/>
          <w:sz w:val="22"/>
        </w:rPr>
        <w:t xml:space="preserve">Monitoring for compliance with settlement agreements. </w:t>
      </w:r>
      <w:r>
        <w:rPr>
          <w:rFonts w:ascii="Times New Roman" w:hAnsi="Times New Roman"/>
          <w:b w:val="false"/>
          <w:i w:val="false"/>
          <w:color w:val="000000"/>
          <w:sz w:val="22"/>
        </w:rPr>
        <w:t xml:space="preserve">The fee for monitoring a licensee’s, registrant’s or permit holder’s compliance with a settlement agreement entered into pursuant to </w:t>
      </w:r>
      <w:hyperlink r:id="rId6">
        <w:r>
          <w:rPr>
            <w:rStyle w:val="Hyperlink"/>
            <w:rFonts w:ascii="Times New Roman" w:hAnsi="Times New Roman"/>
            <w:b w:val="false"/>
            <w:i w:val="false"/>
            <w:color w:val="000000"/>
            <w:sz w:val="22"/>
          </w:rPr>
          <w:t>650—subrule 51.19(9)</w:t>
        </w:r>
      </w:hyperlink>
      <w:r>
        <w:rPr>
          <w:rFonts w:ascii="Times New Roman" w:hAnsi="Times New Roman"/>
          <w:b w:val="false"/>
          <w:i w:val="false"/>
          <w:color w:val="000000"/>
          <w:sz w:val="22"/>
        </w:rPr>
        <w:t xml:space="preserve"> is $300 per quarter, unless otherwise stated in the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15.8(7)</w:t>
      </w:r>
      <w:r>
        <w:rPr>
          <w:rFonts w:ascii="Times New Roman" w:hAnsi="Times New Roman"/>
          <w:b w:val="false"/>
          <w:i w:val="false"/>
          <w:color w:val="000000"/>
          <w:sz w:val="22"/>
        </w:rPr>
        <w:t> </w:t>
      </w:r>
      <w:r>
        <w:rPr>
          <w:rFonts w:ascii="Times New Roman" w:hAnsi="Times New Roman"/>
          <w:b w:val="false"/>
          <w:i/>
          <w:color w:val="000000"/>
          <w:sz w:val="22"/>
        </w:rPr>
        <w:t xml:space="preserve">Disciplinary hearings—fees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As used in this subrule in relation to fees related to a formal disciplinary action filed by the board against a licensee, registrant or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“Deposition” </w:t>
      </w:r>
      <w:r>
        <w:rPr>
          <w:rFonts w:ascii="Times New Roman" w:hAnsi="Times New Roman"/>
          <w:b w:val="false"/>
          <w:i w:val="false"/>
          <w:color w:val="000000"/>
          <w:sz w:val="22"/>
        </w:rPr>
        <w:t>means the testimony of a person pursuant to subpoena or at the request of the state of Iowa taken in a setting other than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“Expenses” </w:t>
      </w:r>
      <w:r>
        <w:rPr>
          <w:rFonts w:ascii="Times New Roman" w:hAnsi="Times New Roman"/>
          <w:b w:val="false"/>
          <w:i w:val="false"/>
          <w:color w:val="000000"/>
          <w:sz w:val="22"/>
        </w:rPr>
        <w:t xml:space="preserve">means costs incurred by persons appearing pursuant to subpoena or at the request of the state of Iowa for purposes of providing testimony on the part of the state of Iowa in a hearing or other official proceeding and shall include mileage reimbursement at the rate specified in Iowa Code section </w:t>
      </w:r>
      <w:hyperlink r:id="rId7">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xml:space="preserve"> or, if commercial air or ground transportation is used, the actual cost of transportation to and from the proceeding. Also included are actual costs incurred for meals and necessary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examination fees” </w:t>
      </w:r>
      <w:r>
        <w:rPr>
          <w:rFonts w:ascii="Times New Roman" w:hAnsi="Times New Roman"/>
          <w:b w:val="false"/>
          <w:i w:val="false"/>
          <w:color w:val="000000"/>
          <w:sz w:val="22"/>
        </w:rPr>
        <w:t>means actual costs incurred by the board in a physical, mental, chemical abuse, or other impairment-related examination or evaluation of a licensee when the examination or evaluation is conducted pursuant to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“Transcript” </w:t>
      </w:r>
      <w:r>
        <w:rPr>
          <w:rFonts w:ascii="Times New Roman" w:hAnsi="Times New Roman"/>
          <w:b w:val="false"/>
          <w:i w:val="false"/>
          <w:color w:val="000000"/>
          <w:sz w:val="22"/>
        </w:rPr>
        <w:t>means a printed verbatim reproduction of everything said on the record during a hearing or other official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“Witness fees” </w:t>
      </w:r>
      <w:r>
        <w:rPr>
          <w:rFonts w:ascii="Times New Roman" w:hAnsi="Times New Roman"/>
          <w:b w:val="false"/>
          <w:i w:val="false"/>
          <w:color w:val="000000"/>
          <w:sz w:val="22"/>
        </w:rPr>
        <w:t xml:space="preserve">means compensation paid by the board to persons appearing pursuant to subpoena or at the request of the state of Iowa for purposes of providing testimony on the part of the state of Iowa. For the purposes of this rule, compensation shall be the same as outlined in Iowa Code section </w:t>
      </w:r>
      <w:hyperlink r:id="rId8">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as the case may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charge a fee not to exceed $75 for conducting a disciplinary hearing which results in disciplinary action taken against the licensee by the board. In addition to the fee, the board may recover from the licensee costs for the following procedures and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 reporter and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Witness fees and expenses. The parties in a contested case shall be responsible for any witness fees and expenses incurred by witnesses appearing at the contested case hearing. In addition, the board may assess a licensee the witness fees and expenses incurred by witnesses called to testify on behalf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Depositions. Deposition costs for the purposes of allocating costs against a licensee include only those deposition costs incurred by the state of Iowa. The licensee is directly responsible for the payment of deposition costs incurred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examination fees incurred relating to a person licensed under Iowa Code chapter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All costs of physical or mental examinations or substance abuse evaluations or drug screening or clinical competency evaluations ordered by the board pursuant to Iowa Code section </w:t>
      </w:r>
      <w:hyperlink r:id="rId11">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 xml:space="preserve"> as part of an investigation or pending complaint or as a sanction following a contested case shall be paid directly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reimbursable costs. </w:t>
      </w:r>
      <w:r>
        <w:rPr>
          <w:rFonts w:ascii="Times New Roman" w:hAnsi="Times New Roman"/>
          <w:b w:val="false"/>
          <w:i w:val="false"/>
          <w:color w:val="000000"/>
          <w:sz w:val="22"/>
        </w:rPr>
        <w:t>The executive director or designee shall certify any reimbursable costs incurred by the board. The executive director shall calculate the specific costs, certify the cost calculated, and file the certification as part of the record in the contested case. A copy of the certification shall be served on the party responsible for payment of the certified costs at the time of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w:t>
      </w:r>
      <w:r>
        <w:rPr>
          <w:rFonts w:ascii="Times New Roman" w:hAnsi="Times New Roman"/>
          <w:b w:val="false"/>
          <w:i w:val="false"/>
          <w:color w:val="000000"/>
          <w:sz w:val="22"/>
        </w:rPr>
        <w:t> </w:t>
      </w:r>
      <w:r>
        <w:rPr>
          <w:rFonts w:ascii="Times New Roman" w:hAnsi="Times New Roman"/>
          <w:b w:val="false"/>
          <w:i/>
          <w:color w:val="000000"/>
          <w:sz w:val="22"/>
        </w:rPr>
        <w:t xml:space="preserve">Assessment of fees and costs. </w:t>
      </w:r>
      <w:r>
        <w:rPr>
          <w:rFonts w:ascii="Times New Roman" w:hAnsi="Times New Roman"/>
          <w:b w:val="false"/>
          <w:i w:val="false"/>
          <w:color w:val="000000"/>
          <w:sz w:val="22"/>
        </w:rPr>
        <w:t>A final decision of the board imposing disciplinary action against a licensee shall include the amount of any disciplinary hearing fee assessed, which shall not exceed $75. If the board also assesses reimbursable costs against the licensee, the board shall file a certification of reimbursable costs which includes a statement of costs delineating each category of costs and the amount assessed. Fees and costs that cannot be calculated at the time of the issuance of the board’s final disciplinary order may be invoiced to the licensee at a later time, provided the board’s final disciplinary order states that the fees and costs will be invoiced at a later date. The board shall specify the time period in which the fees and costs must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15.8(10)</w:t>
      </w:r>
      <w:r>
        <w:rPr>
          <w:rFonts w:ascii="Times New Roman" w:hAnsi="Times New Roman"/>
          <w:b w:val="false"/>
          <w:i w:val="false"/>
          <w:color w:val="000000"/>
          <w:sz w:val="22"/>
        </w:rPr>
        <w:t> </w:t>
      </w:r>
      <w:r>
        <w:rPr>
          <w:rFonts w:ascii="Times New Roman" w:hAnsi="Times New Roman"/>
          <w:b w:val="false"/>
          <w:i/>
          <w:color w:val="000000"/>
          <w:sz w:val="22"/>
        </w:rPr>
        <w:t xml:space="preserve">Board treatment of collected fees, costs. </w:t>
      </w:r>
      <w:r>
        <w:rPr>
          <w:rFonts w:ascii="Times New Roman" w:hAnsi="Times New Roman"/>
          <w:b w:val="false"/>
          <w:i w:val="false"/>
          <w:color w:val="000000"/>
          <w:sz w:val="22"/>
        </w:rPr>
        <w:t xml:space="preserve">Fees and costs collected by the board shall be considered repayment receipts as defined in Iowa Code section </w:t>
      </w:r>
      <w:hyperlink r:id="rId12">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15.8(11)</w:t>
      </w:r>
      <w:r>
        <w:rPr>
          <w:rFonts w:ascii="Times New Roman" w:hAnsi="Times New Roman"/>
          <w:b w:val="false"/>
          <w:i w:val="false"/>
          <w:color w:val="000000"/>
          <w:sz w:val="22"/>
        </w:rPr>
        <w:t> </w:t>
      </w:r>
      <w:r>
        <w:rPr>
          <w:rFonts w:ascii="Times New Roman" w:hAnsi="Times New Roman"/>
          <w:b w:val="false"/>
          <w:i/>
          <w:color w:val="000000"/>
          <w:sz w:val="22"/>
        </w:rPr>
        <w:t xml:space="preserve">Failure to pay assessed fees, costs. </w:t>
      </w:r>
      <w:r>
        <w:rPr>
          <w:rFonts w:ascii="Times New Roman" w:hAnsi="Times New Roman"/>
          <w:b w:val="false"/>
          <w:i w:val="false"/>
          <w:color w:val="000000"/>
          <w:sz w:val="22"/>
        </w:rPr>
        <w:t>Failure of a licensee to pay the fees and costs assessed herein within the time period specified in the board’s final disciplinary order shall constitute a violation of an order of the board and shall be grounds for disciplinary action.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3490C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2.pdf" Type="http://schemas.openxmlformats.org/officeDocument/2006/relationships/hyperlink" Id="rId4"/>
    <Relationship TargetMode="External" Target="https://www.legis.iowa.gov/docs/iac/chapter/650.35.pdf" Type="http://schemas.openxmlformats.org/officeDocument/2006/relationships/hyperlink" Id="rId5"/>
    <Relationship TargetMode="External" Target="https://www.legis.iowa.gov/docs/iac/rule/650.51.19.pdf" Type="http://schemas.openxmlformats.org/officeDocument/2006/relationships/hyperlink" Id="rId6"/>
    <Relationship TargetMode="External" Target="https://www.legis.iowa.gov/docs/ico/chapter/70A.9.pdf" Type="http://schemas.openxmlformats.org/officeDocument/2006/relationships/hyperlink" Id="rId7"/>
    <Relationship TargetMode="External" Target="https://www.legis.iowa.gov/docs/ico/chapter/622.69.pdf" Type="http://schemas.openxmlformats.org/officeDocument/2006/relationships/hyperlink" Id="rId8"/>
    <Relationship TargetMode="External" Target="https://www.legis.iowa.gov/docs/ico/chapter/622.72.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272C.9.pdf" Type="http://schemas.openxmlformats.org/officeDocument/2006/relationships/hyperlink" Id="rId11"/>
    <Relationship TargetMode="External" Target="https://www.legis.iowa.gov/docs/ico/chapter/8.2.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