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650—15.2</w:t>
      </w:r>
      <w:r>
        <w:rPr>
          <w:rFonts w:ascii="Times New Roman" w:hAnsi="Times New Roman"/>
          <w:b/>
          <w:i w:val="false"/>
          <w:color w:val="000000"/>
          <w:sz w:val="22"/>
        </w:rPr>
        <w:t xml:space="preserve">(147,153)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means the amount charged for the services described in this chapter. All fees are nonrefundable. Overpayment of the fee will result in return of the original request and payment, prior to processing, with a clarification of the total amount due.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 xml:space="preserve">means the amount charged for making a service available online and is in addition to the actual fee for a service itself. For example, a licensee who renews a license online will pay the license renewal fee and a service charge.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3490C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