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650—15.11</w:t>
      </w:r>
      <w:r>
        <w:rPr>
          <w:rFonts w:ascii="Times New Roman" w:hAnsi="Times New Roman"/>
          <w:b/>
          <w:i w:val="false"/>
          <w:color w:val="000000"/>
          <w:sz w:val="22"/>
        </w:rPr>
        <w:t xml:space="preserve">(22,147,153) </w:t>
      </w:r>
      <w:r>
        <w:rPr>
          <w:rFonts w:ascii="Times New Roman" w:hAnsi="Times New Roman"/>
          <w:b/>
          <w:i w:val="false"/>
          <w:color w:val="000000"/>
          <w:sz w:val="22"/>
        </w:rPr>
        <w:t xml:space="preserve">Public records. </w:t>
      </w:r>
      <w:r>
        <w:rPr>
          <w:rFonts w:ascii="Times New Roman" w:hAnsi="Times New Roman"/>
          <w:b w:val="false"/>
          <w:i w:val="false"/>
          <w:color w:val="000000"/>
          <w:sz w:val="22"/>
        </w:rPr>
        <w:t xml:space="preserve">Public records are available according to </w:t>
      </w:r>
      <w:hyperlink r:id="rId4">
        <w:r>
          <w:rPr>
            <w:rStyle w:val="Hyperlink"/>
            <w:rFonts w:ascii="Times New Roman" w:hAnsi="Times New Roman"/>
            <w:b w:val="false"/>
            <w:i w:val="false"/>
            <w:color w:val="000000"/>
            <w:sz w:val="22"/>
          </w:rPr>
          <w:t>650—Chapter 6</w:t>
        </w:r>
      </w:hyperlink>
      <w:r>
        <w:rPr>
          <w:rFonts w:ascii="Times New Roman" w:hAnsi="Times New Roman"/>
          <w:b w:val="false"/>
          <w:i w:val="false"/>
          <w:color w:val="000000"/>
          <w:sz w:val="22"/>
        </w:rPr>
        <w:t xml:space="preserve">, “Public Records and Fair Information Practices.” Payment made to the Iowa Dental Board, which shall be considered a repayment receipt as defined in Iowa Code section </w:t>
      </w:r>
      <w:hyperlink r:id="rId5">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shall be received in the board office prior to the release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15.11(1)</w:t>
      </w:r>
      <w:r>
        <w:rPr>
          <w:rFonts w:ascii="Times New Roman" w:hAnsi="Times New Roman"/>
          <w:b w:val="false"/>
          <w:i w:val="false"/>
          <w:color w:val="000000"/>
          <w:sz w:val="22"/>
        </w:rPr>
        <w:t> </w:t>
      </w:r>
      <w:r>
        <w:rPr>
          <w:rFonts w:ascii="Times New Roman" w:hAnsi="Times New Roman"/>
          <w:b w:val="false"/>
          <w:i w:val="false"/>
          <w:color w:val="000000"/>
          <w:sz w:val="22"/>
        </w:rPr>
        <w:t>Copies of public records shall be calculated at $.25 per page plus labor. A $16 per-hour fee shall be charged for labor in excess of one-half hour for searching and copying documents or retrieving and copying information stored electronically. No additional fee shall be charged for delivery of the records by mail or fax. A fax is an option if the requested records are fewer than 30 pages. The board office shall not require payment when the fees for the request would be less than $5 total.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15.11(2)</w:t>
      </w:r>
      <w:r>
        <w:rPr>
          <w:rFonts w:ascii="Times New Roman" w:hAnsi="Times New Roman"/>
          <w:b w:val="false"/>
          <w:i w:val="false"/>
          <w:color w:val="000000"/>
          <w:sz w:val="22"/>
        </w:rPr>
        <w:t> </w:t>
      </w:r>
      <w:r>
        <w:rPr>
          <w:rFonts w:ascii="Times New Roman" w:hAnsi="Times New Roman"/>
          <w:b w:val="false"/>
          <w:i w:val="false"/>
          <w:color w:val="000000"/>
          <w:sz w:val="22"/>
        </w:rPr>
        <w:t>Electronic copies of public records delivered by email shall be calculated at $.10 per page; the minimum charge shall be $5. A $16 per-hour fee shall be charged for labor in excess of one-half hour for searching and copying documents or retrieving and copying information stored electronically. The board office shall not require payment when the fee for the request would be less than $5 total.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15.11(3)</w:t>
      </w:r>
      <w:r>
        <w:rPr>
          <w:rFonts w:ascii="Times New Roman" w:hAnsi="Times New Roman"/>
          <w:b w:val="false"/>
          <w:i w:val="false"/>
          <w:color w:val="000000"/>
          <w:sz w:val="22"/>
        </w:rPr>
        <w:t> </w:t>
      </w:r>
      <w:r>
        <w:rPr>
          <w:rFonts w:ascii="Times New Roman" w:hAnsi="Times New Roman"/>
          <w:b w:val="false"/>
          <w:i w:val="false"/>
          <w:color w:val="000000"/>
          <w:sz w:val="22"/>
        </w:rPr>
        <w:t>Electronic files of statements of charges, final orders and consent agreements from each board meeting may be delivered via email, upon written request, at no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15.11(4)</w:t>
      </w:r>
      <w:r>
        <w:rPr>
          <w:rFonts w:ascii="Times New Roman" w:hAnsi="Times New Roman"/>
          <w:b w:val="false"/>
          <w:i w:val="false"/>
          <w:color w:val="000000"/>
          <w:sz w:val="22"/>
        </w:rPr>
        <w:t> </w:t>
      </w:r>
      <w:r>
        <w:rPr>
          <w:rFonts w:ascii="Times New Roman" w:hAnsi="Times New Roman"/>
          <w:b w:val="false"/>
          <w:i w:val="false"/>
          <w:color w:val="000000"/>
          <w:sz w:val="22"/>
        </w:rPr>
        <w:t>Printed copies of statements of charges, final orders and consent agreements from each board meeting shall be available for an annual subscription fee of $120.</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3490C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50.6.pdf" Type="http://schemas.openxmlformats.org/officeDocument/2006/relationships/hyperlink" Id="rId4"/>
    <Relationship TargetMode="External" Target="https://www.legis.iowa.gov/docs/ico/chapter/8.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