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650—15.1</w:t>
      </w:r>
      <w:r>
        <w:rPr>
          <w:rFonts w:ascii="Times New Roman" w:hAnsi="Times New Roman"/>
          <w:b/>
          <w:i w:val="false"/>
          <w:color w:val="000000"/>
          <w:sz w:val="22"/>
        </w:rPr>
        <w:t xml:space="preserve">(147,153) </w:t>
      </w:r>
      <w:r>
        <w:rPr>
          <w:rFonts w:ascii="Times New Roman" w:hAnsi="Times New Roman"/>
          <w:b/>
          <w:i w:val="false"/>
          <w:color w:val="000000"/>
          <w:sz w:val="22"/>
        </w:rPr>
        <w:t xml:space="preserve">Establishment of fees. </w:t>
      </w:r>
      <w:r>
        <w:rPr>
          <w:rFonts w:ascii="Times New Roman" w:hAnsi="Times New Roman"/>
          <w:b w:val="false"/>
          <w:i w:val="false"/>
          <w:color w:val="000000"/>
          <w:sz w:val="22"/>
        </w:rPr>
        <w:t xml:space="preserve">The board is self-supporting through the collection of fees and does not receive an appropriation from the general fund. Pursuant to Iowa Code section </w:t>
      </w:r>
      <w:hyperlink r:id="rId4">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the board is to establish fees by rule based on the costs of sustaining the board and the actual costs of the services performed by the board. Under Iowa law, the board is required to annually prepare an estimate of projected revenues generated by the fees received and review projected expenses to ensure that there are sufficient funds to cover projected expenses.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0164C</w:t>
      </w:r>
      <w:r>
        <w:rPr>
          <w:rFonts w:ascii="Times New Roman" w:hAnsi="Times New Roman"/>
          <w:b w:val="false"/>
          <w:i w:val="false"/>
          <w:color w:val="000000"/>
          <w:sz w:val="16"/>
        </w:rPr>
        <w:t>, IAB 6/13/12, effective 5/21/12</w:t>
      </w:r>
      <w:r>
        <w:rPr>
          <w:rFonts w:ascii="Times New Roman" w:hAnsi="Times New Roman"/>
          <w:b w:val="false"/>
          <w:i w:val="false"/>
          <w:color w:val="000000"/>
          <w:sz w:val="16"/>
        </w:rPr>
        <w:t xml:space="preserve">; </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80.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