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650—14.6</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Reinstatement of a lapsed license 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A licensee or a registrant who allows a license or registration to lapse by failing to renew may have the license or registration reinstated at the discretion of the board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reinstatement of a lapsed license or registration to practice dentistry, dental hygiene or dental assisting,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and places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other states in which licensed or registered and the identifying number of each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renewal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plus the reinstatement application fee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completion of the hours of continuing education required for renewal of a license or registration in accordance with </w:t>
      </w:r>
      <w:hyperlink r:id="rId6">
        <w:r>
          <w:rPr>
            <w:rStyle w:val="Hyperlink"/>
            <w:rFonts w:ascii="Times New Roman" w:hAnsi="Times New Roman"/>
            <w:b w:val="false"/>
            <w:i w:val="false"/>
            <w:color w:val="000000"/>
            <w:sz w:val="22"/>
          </w:rPr>
          <w:t>650—Chapter 25</w:t>
        </w:r>
      </w:hyperlink>
      <w:r>
        <w:rPr>
          <w:rFonts w:ascii="Times New Roman" w:hAnsi="Times New Roman"/>
          <w:b w:val="false"/>
          <w:i w:val="false"/>
          <w:color w:val="000000"/>
          <w:sz w:val="22"/>
        </w:rPr>
        <w:t xml:space="preserve"> taken within the previous two-year period, or evidence of the full-time or part-time practice of the profession in another state of the United States or the District of Columbia, for a minimum of two years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licensed or registered in another state, the licensee or registrant shall provide certification by the state board of dentistry or equivalent authority of such state that the licensee or registrant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claims, complaints,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possesses a current certificate in a nationally recognized course in cardiopulmonary resuscitation. The course must include a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reinstatement of a lapsed license, a completed fingerprint packet to facilitate a criminal history background check by the Iowa division of criminal investigation (DCI) and the Federal Bureau of Investigation (FBI), including the fee for the evaluation of the fingerprint packet and the criminal history background checks by the DCI and FBI, as specified in </w:t>
      </w:r>
      <w:hyperlink r:id="rId7">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licensee or registrant who is applying for reinstatement, and has not actively practiced clinically within the previous five years, to successfully complete a regional clinical examination, or other board-approved examination or assessment, for the purpose of ensuring that the applicant possesses sufficient knowledge and skill to practice safely.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finds that a practitioner applying for reinstatement is or has been subject to disciplinary action taken against a license or registration held by the applicant in another state of the United States, District of Columbia, or territory, and the violations which resulted in such actions would also be grounds for discipline in Iowa in accordance with </w:t>
      </w:r>
      <w:hyperlink r:id="rId8">
        <w:r>
          <w:rPr>
            <w:rStyle w:val="Hyperlink"/>
            <w:rFonts w:ascii="Times New Roman" w:hAnsi="Times New Roman"/>
            <w:b w:val="false"/>
            <w:i w:val="false"/>
            <w:color w:val="000000"/>
            <w:sz w:val="22"/>
          </w:rPr>
          <w:t>rule 650—30.4(153)</w:t>
        </w:r>
      </w:hyperlink>
      <w:r>
        <w:rPr>
          <w:rFonts w:ascii="Times New Roman" w:hAnsi="Times New Roman"/>
          <w:b w:val="false"/>
          <w:i w:val="false"/>
          <w:color w:val="000000"/>
          <w:sz w:val="22"/>
        </w:rPr>
        <w:t xml:space="preserve">, the board may deny reinstatement of a license or registration to practice dentistry, dental hygiene, or dental assisting in Iowa or may impose any applicable disciplinary sanctions as specified in </w:t>
      </w:r>
      <w:hyperlink r:id="rId9">
        <w:r>
          <w:rPr>
            <w:rStyle w:val="Hyperlink"/>
            <w:rFonts w:ascii="Times New Roman" w:hAnsi="Times New Roman"/>
            <w:b w:val="false"/>
            <w:i w:val="false"/>
            <w:color w:val="000000"/>
            <w:sz w:val="22"/>
          </w:rPr>
          <w:t>rule 650—30.2(153)</w:t>
        </w:r>
      </w:hyperlink>
      <w:r>
        <w:rPr>
          <w:rFonts w:ascii="Times New Roman" w:hAnsi="Times New Roman"/>
          <w:b w:val="false"/>
          <w:i w:val="false"/>
          <w:color w:val="000000"/>
          <w:sz w:val="22"/>
        </w:rPr>
        <w:t xml:space="preserve">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may, in its discretion, review any applications for reinstatement of a lapsed dental hygiene license and make recommendations to the board. The board’s review of the dental hygiene committee recommendation is subject to </w:t>
      </w:r>
      <w:hyperlink r:id="rId10">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chapter/650.25.pdf" Type="http://schemas.openxmlformats.org/officeDocument/2006/relationships/hyperlink" Id="rId6"/>
    <Relationship TargetMode="External" Target="https://www.legis.iowa.gov/docs/iac/chapter/650.15.pdf" Type="http://schemas.openxmlformats.org/officeDocument/2006/relationships/hyperlink" Id="rId7"/>
    <Relationship TargetMode="External" Target="https://www.legis.iowa.gov/docs/iac/rule/650.30.4.pdf" Type="http://schemas.openxmlformats.org/officeDocument/2006/relationships/hyperlink" Id="rId8"/>
    <Relationship TargetMode="External" Target="https://www.legis.iowa.gov/docs/iac/rule/650.30.2.pdf" Type="http://schemas.openxmlformats.org/officeDocument/2006/relationships/hyperlink" Id="rId9"/>
    <Relationship TargetMode="External" Target="https://www.legis.iowa.gov/docs/iac/chapter/650.1.pdf" Type="http://schemas.openxmlformats.org/officeDocument/2006/relationships/hyperlink" Id="rId10"/>
    <Relationship TargetMode="External" Target="https://www.legis.iowa.gov/docs/ico/chapter/147.10.pdf" Type="http://schemas.openxmlformats.org/officeDocument/2006/relationships/hyperlink" Id="rId11"/>
    <Relationship TargetMode="External" Target="https://www.legis.iowa.gov/docs/ico/chapter/147.11.pdf" Type="http://schemas.openxmlformats.org/officeDocument/2006/relationships/hyperlink" Id="rId12"/>
    <Relationship TargetMode="External" Target="https://www.legis.iowa.gov/docs/ico/chapter/272C.2.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