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650—14.5</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Late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license or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renew a dental or dental hygiene license or permit prior to September 1 following expiration shall result in a late fee in the amount specified in 650—Chapter 15 being assessed by the board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renew prior to October 1 following expiration shall result in assessment of a late fee in the amount specified in 650—Chapter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of a license or permit holder to renew a license or permit prior to November 1 following expiration shall cause the license or permit to lapse and become invalid. A licensee or permit holder whose license or permit has lapsed and become invalid is prohibited from the practice of dentistry or dental hygiene until the license or permit is reinstated in accordance with rule 650—14.6(147,153,272C).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renew a dental assistant registration prior to September 1 following expiration shall result in a late fee in the amount specified in 650—Chapter 15 assessed by the board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renew prior to October 1 following expiration shall result in assessment of a late fee in the amount specified in 650—Chapter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renew a registration prior to November 1 following expiration shall cause the registration to lapse and become invalid. A registrant whose registration has lapsed and become invalid is prohibited from practicing as a dental assistant until the registration is reinstated in accordance with rule 650—14.6(147,153,272C).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radiography qualification. </w:t>
      </w:r>
      <w:r>
        <w:rPr>
          <w:rFonts w:ascii="Times New Roman" w:hAnsi="Times New Roman"/>
          <w:b w:val="false"/>
          <w:i w:val="false"/>
          <w:color w:val="000000"/>
          <w:sz w:val="22"/>
        </w:rPr>
        <w:t>Failure to renew a radiography qualification prior to November 1 following expiration shall cause the radiography qualification to lapse and become invalid. A dental assistant whose radiography qualification is lapsed is prohibited from engaging in dental radiography until the qualification is reinstated in accordance with rule 650—14.7(136C,153).</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10.pdf" Type="http://schemas.openxmlformats.org/officeDocument/2006/relationships/hyperlink" Id="rId4"/>
    <Relationship TargetMode="External" Target="https://www.legis.iowa.gov/docs/ico/chapter/147.11.pdf" Type="http://schemas.openxmlformats.org/officeDocument/2006/relationships/hyperlink" Id="rId5"/>
    <Relationship TargetMode="External" Target="https://www.legis.iowa.gov/docs/ico/chapter/272C.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