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650—14.2</w:t>
      </w:r>
      <w:r>
        <w:rPr>
          <w:rFonts w:ascii="Times New Roman" w:hAnsi="Times New Roman"/>
          <w:b/>
          <w:i w:val="false"/>
          <w:color w:val="000000"/>
          <w:sz w:val="22"/>
        </w:rPr>
        <w:t xml:space="preserve">(153) </w:t>
      </w:r>
      <w:r>
        <w:rPr>
          <w:rFonts w:ascii="Times New Roman" w:hAnsi="Times New Roman"/>
          <w:b/>
          <w:i w:val="false"/>
          <w:color w:val="000000"/>
          <w:sz w:val="22"/>
        </w:rPr>
        <w:t xml:space="preserve">Renewal of registration as a dental assistant. </w:t>
      </w:r>
      <w:r>
        <w:rPr>
          <w:rFonts w:ascii="Times New Roman" w:hAnsi="Times New Roman"/>
          <w:b w:val="false"/>
          <w:i w:val="false"/>
          <w:color w:val="000000"/>
          <w:sz w:val="22"/>
        </w:rPr>
        <w:t xml:space="preserve">A certificate of registration as a registered dental assistant must be renewed biennially. Registration certificates shall expire on August 31 of every odd-numbered year.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w:t>
      </w:r>
      <w:r>
        <w:rPr>
          <w:rFonts w:ascii="Times New Roman" w:hAnsi="Times New Roman"/>
          <w:b w:val="false"/>
          <w:i w:val="false"/>
          <w:color w:val="000000"/>
          <w:sz w:val="22"/>
        </w:rPr>
        <w:t> </w:t>
      </w:r>
      <w:r>
        <w:rPr>
          <w:rFonts w:ascii="Times New Roman" w:hAnsi="Times New Roman"/>
          <w:b w:val="false"/>
          <w:i/>
          <w:color w:val="000000"/>
          <w:sz w:val="22"/>
        </w:rPr>
        <w:t xml:space="preserve">Renewal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Renewal notice. </w:t>
      </w:r>
      <w:r>
        <w:rPr>
          <w:rFonts w:ascii="Times New Roman" w:hAnsi="Times New Roman"/>
          <w:b w:val="false"/>
          <w:i w:val="false"/>
          <w:color w:val="000000"/>
          <w:sz w:val="22"/>
        </w:rPr>
        <w:t xml:space="preserve">The board office will send a renewal notice by email to each registrant at the registrant’s last-known email address.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Registrant obligation. </w:t>
      </w:r>
      <w:r>
        <w:rPr>
          <w:rFonts w:ascii="Times New Roman" w:hAnsi="Times New Roman"/>
          <w:b w:val="false"/>
          <w:i w:val="false"/>
          <w:color w:val="000000"/>
          <w:sz w:val="22"/>
        </w:rPr>
        <w:t>The registrant is responsible for renewing the registration prior to its expiration. Failure of the registrant to receive the notice does not relieve the registrant of the responsibility for renewing that registration in order to continue practicing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form. </w:t>
      </w:r>
      <w:r>
        <w:rPr>
          <w:rFonts w:ascii="Times New Roman" w:hAnsi="Times New Roman"/>
          <w:b w:val="false"/>
          <w:i w:val="false"/>
          <w:color w:val="000000"/>
          <w:sz w:val="22"/>
        </w:rPr>
        <w:t>Registrants may renew their registration online or via paper application. Paper application for renewal must be made in writing on forms provided by the board office before the current registration expires.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Complete and timely filed application. </w:t>
      </w:r>
      <w:r>
        <w:rPr>
          <w:rFonts w:ascii="Times New Roman" w:hAnsi="Times New Roman"/>
          <w:b w:val="false"/>
          <w:i w:val="false"/>
          <w:color w:val="000000"/>
          <w:sz w:val="22"/>
        </w:rPr>
        <w:t>No renewal application shall be considered timely and sufficient until received by the board office and accompanied by all material required for renewal and all applicable renewal and late fees. Incomplete applications will not be accepted. For purposes of establishing timely filing, the postmark on a paper submittal will be used, and for renewals submitted online, the electronic timestamp will be deemed the date of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The appropriate fee as specified in 650—Chapter 15 must accompany the application for renewal. A penalty shall be assessed by the board for late renewal, as specified in 650—Chapter 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14.2(3)</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requirements. </w:t>
      </w:r>
      <w:r>
        <w:rPr>
          <w:rFonts w:ascii="Times New Roman" w:hAnsi="Times New Roman"/>
          <w:b w:val="false"/>
          <w:i w:val="false"/>
          <w:color w:val="000000"/>
          <w:sz w:val="22"/>
        </w:rPr>
        <w:t>Completion of continuing education as specified in 650—Chapter 25 is required for renewal of an active registration. Failure to meet the requirements of renewal in the time specified by rule will automatically result in a lapsed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w:t>
      </w:r>
      <w:r>
        <w:rPr>
          <w:rFonts w:ascii="Times New Roman" w:hAnsi="Times New Roman"/>
          <w:b w:val="false"/>
          <w:i w:val="false"/>
          <w:color w:val="000000"/>
          <w:sz w:val="22"/>
        </w:rPr>
        <w:t> </w:t>
      </w:r>
      <w:r>
        <w:rPr>
          <w:rFonts w:ascii="Times New Roman" w:hAnsi="Times New Roman"/>
          <w:b w:val="false"/>
          <w:i/>
          <w:color w:val="000000"/>
          <w:sz w:val="22"/>
        </w:rPr>
        <w:t xml:space="preserve">CPR certification. </w:t>
      </w:r>
      <w:r>
        <w:rPr>
          <w:rFonts w:ascii="Times New Roman" w:hAnsi="Times New Roman"/>
          <w:b w:val="false"/>
          <w:i w:val="false"/>
          <w:color w:val="000000"/>
          <w:sz w:val="22"/>
        </w:rPr>
        <w:t>In order to renew a registration, an applicant must submit a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Confirming that the applicant possesses a valid certificate from a nationally recognized course in cardiopulmonary resuscitation (CPR) that included a “hands-on” clinical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the expiration date of the CPR certificate;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Acknowledging that the CPR certificate will be retained and made available to board office staff as part of routine auditing and monitoring.</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153.39</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6303C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7.10.pdf" Type="http://schemas.openxmlformats.org/officeDocument/2006/relationships/hyperlink" Id="rId4"/>
    <Relationship TargetMode="External" Target="https://www.legis.iowa.gov/docs/ico/chapter/153.39.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