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650—14.1</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Renewal of license to practice dentistry or dental hygiene. </w:t>
      </w:r>
      <w:r>
        <w:rPr>
          <w:rFonts w:ascii="Times New Roman" w:hAnsi="Times New Roman"/>
          <w:b w:val="false"/>
          <w:i w:val="false"/>
          <w:color w:val="000000"/>
          <w:sz w:val="22"/>
        </w:rPr>
        <w:t xml:space="preserve">A license to practice dentistry or a license to practice dental hygiene must be renewed prior to the expiration date of the license. Dental hygiene licenses expire on August 31 of every odd-numbered year. Dental licenses expire August 31 of every even-numbered year.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w:t>
      </w:r>
      <w:r>
        <w:rPr>
          <w:rFonts w:ascii="Times New Roman" w:hAnsi="Times New Roman"/>
          <w:b w:val="false"/>
          <w:i w:val="false"/>
          <w:color w:val="000000"/>
          <w:sz w:val="22"/>
        </w:rPr>
        <w:t> </w:t>
      </w:r>
      <w:r>
        <w:rPr>
          <w:rFonts w:ascii="Times New Roman" w:hAnsi="Times New Roman"/>
          <w:b w:val="false"/>
          <w:i/>
          <w:color w:val="000000"/>
          <w:sz w:val="22"/>
        </w:rPr>
        <w:t xml:space="preserve">Application renewal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Renewal notice. </w:t>
      </w:r>
      <w:r>
        <w:rPr>
          <w:rFonts w:ascii="Times New Roman" w:hAnsi="Times New Roman"/>
          <w:b w:val="false"/>
          <w:i w:val="false"/>
          <w:color w:val="000000"/>
          <w:sz w:val="22"/>
        </w:rPr>
        <w:t>The board office will send a renewal notice by email to each licensee at the licensee’s last-known email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Licensee and permit holder obligation. </w:t>
      </w:r>
      <w:r>
        <w:rPr>
          <w:rFonts w:ascii="Times New Roman" w:hAnsi="Times New Roman"/>
          <w:b w:val="false"/>
          <w:i w:val="false"/>
          <w:color w:val="000000"/>
          <w:sz w:val="22"/>
        </w:rPr>
        <w:t>The licensee or permit holder is responsible for renewing the license or permit prior to its expiration. Failure of the licensee or permit holder to receive the notice does not relieve the licensee or permit holder of the responsibility for renewing that license or permit in order to continue practicing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form. </w:t>
      </w:r>
      <w:r>
        <w:rPr>
          <w:rFonts w:ascii="Times New Roman" w:hAnsi="Times New Roman"/>
          <w:b w:val="false"/>
          <w:i w:val="false"/>
          <w:color w:val="000000"/>
          <w:sz w:val="22"/>
        </w:rPr>
        <w:t>Application for renewal must be made on forms provided by the board office. Licensees and permit holders may renew their licenses and permits online or via paper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Complete and timely filed application. </w:t>
      </w:r>
      <w:r>
        <w:rPr>
          <w:rFonts w:ascii="Times New Roman" w:hAnsi="Times New Roman"/>
          <w:b w:val="false"/>
          <w:i w:val="false"/>
          <w:color w:val="000000"/>
          <w:sz w:val="22"/>
        </w:rPr>
        <w:t>No renewal application shall be considered timely and sufficient until received by the board office and accompanied by all material required for renewal and all applicable renewal and late fees. Incomplete applications will not be accepted. For purposes of establishing timely filing, the postmark on a paper submittal will be used, and for renewals submitted online, the electronic timestamp will be deemed the date of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 xml:space="preserve">The appropriate fee as specified in </w:t>
      </w:r>
      <w:hyperlink r:id="rId4">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 xml:space="preserve"> of these rules must accompany the application for renewal. A penalty shall be assessed by the board for late renewal, as specified in 650—Chapter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requirements. </w:t>
      </w:r>
      <w:r>
        <w:rPr>
          <w:rFonts w:ascii="Times New Roman" w:hAnsi="Times New Roman"/>
          <w:b w:val="false"/>
          <w:i w:val="false"/>
          <w:color w:val="000000"/>
          <w:sz w:val="22"/>
        </w:rPr>
        <w:t xml:space="preserve">Completion of continuing education in accordance with </w:t>
      </w:r>
      <w:hyperlink r:id="rId5">
        <w:r>
          <w:rPr>
            <w:rStyle w:val="Hyperlink"/>
            <w:rFonts w:ascii="Times New Roman" w:hAnsi="Times New Roman"/>
            <w:b w:val="false"/>
            <w:i w:val="false"/>
            <w:color w:val="000000"/>
            <w:sz w:val="22"/>
          </w:rPr>
          <w:t>650—Chapter 25</w:t>
        </w:r>
      </w:hyperlink>
      <w:r>
        <w:rPr>
          <w:rFonts w:ascii="Times New Roman" w:hAnsi="Times New Roman"/>
          <w:b w:val="false"/>
          <w:i w:val="false"/>
          <w:color w:val="000000"/>
          <w:sz w:val="22"/>
        </w:rPr>
        <w:t xml:space="preserve"> is required for renewal of an active license. However, licensees are exempt from the continuing education requirement for the current biennium in which the license is first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w:t>
      </w:r>
      <w:r>
        <w:rPr>
          <w:rFonts w:ascii="Times New Roman" w:hAnsi="Times New Roman"/>
          <w:b w:val="false"/>
          <w:i w:val="false"/>
          <w:color w:val="000000"/>
          <w:sz w:val="22"/>
        </w:rPr>
        <w:t> </w:t>
      </w:r>
      <w:r>
        <w:rPr>
          <w:rFonts w:ascii="Times New Roman" w:hAnsi="Times New Roman"/>
          <w:b w:val="false"/>
          <w:i/>
          <w:color w:val="000000"/>
          <w:sz w:val="22"/>
        </w:rPr>
        <w:t xml:space="preserve">CPR certification. </w:t>
      </w:r>
      <w:r>
        <w:rPr>
          <w:rFonts w:ascii="Times New Roman" w:hAnsi="Times New Roman"/>
          <w:b w:val="false"/>
          <w:i w:val="false"/>
          <w:color w:val="000000"/>
          <w:sz w:val="22"/>
        </w:rPr>
        <w:t>In order to renew a license, an applicant must submit a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Confirming that the applicant possesses a valid certificate from a nationally recognized course in cardiopulmonary resuscitation (CPR) that included a “hands-on” clinical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the expiration date of the CPR certificate;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Acknowledging that the CPR certificate will be retained and made available to board office staff as part of routine auditing and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w:t>
      </w:r>
      <w:r>
        <w:rPr>
          <w:rFonts w:ascii="Times New Roman" w:hAnsi="Times New Roman"/>
          <w:b w:val="false"/>
          <w:i w:val="false"/>
          <w:color w:val="000000"/>
          <w:sz w:val="22"/>
        </w:rPr>
        <w:t> </w:t>
      </w:r>
      <w:r>
        <w:rPr>
          <w:rFonts w:ascii="Times New Roman" w:hAnsi="Times New Roman"/>
          <w:b w:val="false"/>
          <w:i/>
          <w:color w:val="000000"/>
          <w:sz w:val="22"/>
        </w:rPr>
        <w:t xml:space="preserve">Dental hygiene committee review. </w:t>
      </w:r>
      <w:r>
        <w:rPr>
          <w:rFonts w:ascii="Times New Roman" w:hAnsi="Times New Roman"/>
          <w:b w:val="false"/>
          <w:i w:val="false"/>
          <w:color w:val="000000"/>
          <w:sz w:val="22"/>
        </w:rPr>
        <w:t xml:space="preserve">The dental hygiene committee may, in its discretion, review any applications for renewal of a dental hygiene license and make recommendations to the board. The board’s review is subject to </w:t>
      </w:r>
      <w:hyperlink r:id="rId6">
        <w:r>
          <w:rPr>
            <w:rStyle w:val="Hyperlink"/>
            <w:rFonts w:ascii="Times New Roman" w:hAnsi="Times New Roman"/>
            <w:b w:val="false"/>
            <w:i w:val="false"/>
            <w:color w:val="000000"/>
            <w:sz w:val="22"/>
          </w:rPr>
          <w:t>650—Chapter 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and chapters </w:t>
      </w:r>
      <w:hyperlink r:id="rId8">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6303C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50.15.pdf" Type="http://schemas.openxmlformats.org/officeDocument/2006/relationships/hyperlink" Id="rId4"/>
    <Relationship TargetMode="External" Target="https://www.legis.iowa.gov/docs/iac/chapter/650.25.pdf" Type="http://schemas.openxmlformats.org/officeDocument/2006/relationships/hyperlink" Id="rId5"/>
    <Relationship TargetMode="External" Target="https://www.legis.iowa.gov/docs/iac/chapter/650.1.pdf" Type="http://schemas.openxmlformats.org/officeDocument/2006/relationships/hyperlink" Id="rId6"/>
    <Relationship TargetMode="External" Target="https://www.legis.iowa.gov/docs/ico/chapter/147.10.pdf" Type="http://schemas.openxmlformats.org/officeDocument/2006/relationships/hyperlink" Id="rId7"/>
    <Relationship TargetMode="External" Target="https://www.legis.iowa.gov/docs/ico/chapter/153.pdf" Type="http://schemas.openxmlformats.org/officeDocument/2006/relationships/hyperlink" Id="rId8"/>
    <Relationship TargetMode="External" Target="https://www.legis.iowa.gov/docs/ico/chapter/272C.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