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650—13.4</w:t>
      </w:r>
      <w:r>
        <w:rPr>
          <w:rFonts w:ascii="Times New Roman" w:hAnsi="Times New Roman"/>
          <w:b/>
          <w:i w:val="false"/>
          <w:color w:val="000000"/>
          <w:sz w:val="22"/>
        </w:rPr>
        <w:t xml:space="preserve">(153) </w:t>
      </w:r>
      <w:r>
        <w:rPr>
          <w:rFonts w:ascii="Times New Roman" w:hAnsi="Times New Roman"/>
          <w:b/>
          <w:i w:val="false"/>
          <w:color w:val="000000"/>
          <w:sz w:val="22"/>
        </w:rPr>
        <w:t xml:space="preserve">Retired volunteer license. </w:t>
      </w:r>
      <w:r>
        <w:rPr>
          <w:rFonts w:ascii="Times New Roman" w:hAnsi="Times New Roman"/>
          <w:b w:val="false"/>
          <w:i w:val="false"/>
          <w:color w:val="000000"/>
          <w:sz w:val="22"/>
        </w:rPr>
        <w:t>Upon application and qualification, the board may issue a retired volunteer license to a dentist or dental hygienist who has retired from the practice of dentistry or dental hygiene to enable the dentist or dental hygienist to provide volunteer dental or dental hygiene services without remuneration.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w:t>
      </w:r>
      <w:r>
        <w:rPr>
          <w:rFonts w:ascii="Times New Roman" w:hAnsi="Times New Roman"/>
          <w:b w:val="false"/>
          <w:i w:val="false"/>
          <w:color w:val="000000"/>
          <w:sz w:val="22"/>
        </w:rPr>
        <w:t> </w:t>
      </w:r>
      <w:r>
        <w:rPr>
          <w:rFonts w:ascii="Times New Roman" w:hAnsi="Times New Roman"/>
          <w:b w:val="false"/>
          <w:i w:val="false"/>
          <w:color w:val="000000"/>
          <w:sz w:val="22"/>
        </w:rPr>
        <w:t>Applications for a retired volunteer license shall be made on forms provided by the board, which may include online applications, and must be complete. Incomplete applications will not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w:t>
      </w:r>
      <w:r>
        <w:rPr>
          <w:rFonts w:ascii="Times New Roman" w:hAnsi="Times New Roman"/>
          <w:b w:val="false"/>
          <w:i w:val="false"/>
          <w:color w:val="000000"/>
          <w:sz w:val="22"/>
        </w:rPr>
        <w:t> </w:t>
      </w:r>
      <w:r>
        <w:rPr>
          <w:rFonts w:ascii="Times New Roman" w:hAnsi="Times New Roman"/>
          <w:b w:val="false"/>
          <w:i w:val="false"/>
          <w:color w:val="000000"/>
          <w:sz w:val="22"/>
        </w:rPr>
        <w:t>Applications shall be filed with the board and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Satisfactory evidence that the applicant has retired from practice;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disciplinary actions or criminal charges,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Satisfactory evidence demonstrating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has held an active dental or dental hygiene license within the previous five years;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possesses sufficient knowledge and skill to practice safely and competently if the applicant has not held an active dental or dental hygiene license within the previous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w:t>
      </w:r>
      <w:r>
        <w:rPr>
          <w:rFonts w:ascii="Times New Roman" w:hAnsi="Times New Roman"/>
          <w:b w:val="false"/>
          <w:i w:val="false"/>
          <w:color w:val="000000"/>
          <w:sz w:val="22"/>
        </w:rPr>
        <w:t> </w:t>
      </w:r>
      <w:r>
        <w:rPr>
          <w:rFonts w:ascii="Times New Roman" w:hAnsi="Times New Roman"/>
          <w:b w:val="false"/>
          <w:i w:val="false"/>
          <w:color w:val="000000"/>
          <w:sz w:val="22"/>
        </w:rPr>
        <w:t>A person holding a retired volunteer license shall not practice unless an Iowa-licensed dentist with an active license is present at the location of practice at all times. Screenings and educational programs may be performed without the presence of an Iowa-licensed dentist with an active license, provided that all other board rules governing the respective practice in regards to supervision requirements and permitted scope of practice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13.4(4)</w:t>
      </w:r>
      <w:r>
        <w:rPr>
          <w:rFonts w:ascii="Times New Roman" w:hAnsi="Times New Roman"/>
          <w:b w:val="false"/>
          <w:i w:val="false"/>
          <w:color w:val="000000"/>
          <w:sz w:val="22"/>
        </w:rPr>
        <w:t> </w:t>
      </w:r>
      <w:r>
        <w:rPr>
          <w:rFonts w:ascii="Times New Roman" w:hAnsi="Times New Roman"/>
          <w:b w:val="false"/>
          <w:i w:val="false"/>
          <w:color w:val="000000"/>
          <w:sz w:val="22"/>
        </w:rPr>
        <w:t>A person holding a retired volunteer license shall not charge a fee or receive compensation or remuneration in any form from any person or third-party payer, including but not limited to an insurance company, health plan, or state or federal benefit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13.4(5)</w:t>
      </w:r>
      <w:r>
        <w:rPr>
          <w:rFonts w:ascii="Times New Roman" w:hAnsi="Times New Roman"/>
          <w:b w:val="false"/>
          <w:i w:val="false"/>
          <w:color w:val="000000"/>
          <w:sz w:val="22"/>
        </w:rPr>
        <w:t> </w:t>
      </w:r>
      <w:r>
        <w:rPr>
          <w:rFonts w:ascii="Times New Roman" w:hAnsi="Times New Roman"/>
          <w:b w:val="false"/>
          <w:i w:val="false"/>
          <w:color w:val="000000"/>
          <w:sz w:val="22"/>
        </w:rPr>
        <w:t>An applicant who has surrendered, resigned, converted, or allowed a license to lapse or expire as the result of or in lieu of disciplinary action shall not be eligible for a retired volunteer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13.4(6)</w:t>
      </w:r>
      <w:r>
        <w:rPr>
          <w:rFonts w:ascii="Times New Roman" w:hAnsi="Times New Roman"/>
          <w:b w:val="false"/>
          <w:i w:val="false"/>
          <w:color w:val="000000"/>
          <w:sz w:val="22"/>
        </w:rPr>
        <w:t> </w:t>
      </w:r>
      <w:r>
        <w:rPr>
          <w:rFonts w:ascii="Times New Roman" w:hAnsi="Times New Roman"/>
          <w:b w:val="false"/>
          <w:i w:val="false"/>
          <w:color w:val="000000"/>
          <w:sz w:val="22"/>
        </w:rPr>
        <w:t>A retired volunteer license shall not be considered to be an active license to practice dentistry or dental hygiene and cannot be converted to any regular license type with active or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13.4(7)</w:t>
      </w:r>
      <w:r>
        <w:rPr>
          <w:rFonts w:ascii="Times New Roman" w:hAnsi="Times New Roman"/>
          <w:b w:val="false"/>
          <w:i w:val="false"/>
          <w:color w:val="000000"/>
          <w:sz w:val="22"/>
        </w:rPr>
        <w:t> </w:t>
      </w:r>
      <w:r>
        <w:rPr>
          <w:rFonts w:ascii="Times New Roman" w:hAnsi="Times New Roman"/>
          <w:b w:val="false"/>
          <w:i w:val="false"/>
          <w:color w:val="000000"/>
          <w:sz w:val="22"/>
        </w:rPr>
        <w:t>A person holding a retired volunteer license is prohibited from delegating duties to other licensees or registrants and is prohibited from providing any level of supervision to other licensees or registrants. Licensees and registrants assisting persons with a retired volunteer license do so only under the delegation and supervision of the Iowa-licensed dentist with an active license who is required to be present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13.4(8)</w:t>
      </w:r>
      <w:r>
        <w:rPr>
          <w:rFonts w:ascii="Times New Roman" w:hAnsi="Times New Roman"/>
          <w:b w:val="false"/>
          <w:i w:val="false"/>
          <w:color w:val="000000"/>
          <w:sz w:val="22"/>
        </w:rPr>
        <w:t> </w:t>
      </w:r>
      <w:r>
        <w:rPr>
          <w:rFonts w:ascii="Times New Roman" w:hAnsi="Times New Roman"/>
          <w:b w:val="false"/>
          <w:i w:val="false"/>
          <w:color w:val="000000"/>
          <w:sz w:val="22"/>
        </w:rPr>
        <w:t>A person holding a retired volunteer license is prohibited from prescribing, administering, or dispensing prescription drugs and all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13.4(9)</w:t>
      </w:r>
      <w:r>
        <w:rPr>
          <w:rFonts w:ascii="Times New Roman" w:hAnsi="Times New Roman"/>
          <w:b w:val="false"/>
          <w:i w:val="false"/>
          <w:color w:val="000000"/>
          <w:sz w:val="22"/>
        </w:rPr>
        <w:t> </w:t>
      </w:r>
      <w:r>
        <w:rPr>
          <w:rFonts w:ascii="Times New Roman" w:hAnsi="Times New Roman"/>
          <w:b w:val="false"/>
          <w:i w:val="false"/>
          <w:color w:val="000000"/>
          <w:sz w:val="22"/>
        </w:rPr>
        <w:t>A person holding a retired volunteer license is subject to all rules and regulations governing the practice of dentistry or dental hygiene except those related to the payment of fees, license renewal, and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13.4(10)</w:t>
      </w:r>
      <w:r>
        <w:rPr>
          <w:rFonts w:ascii="Times New Roman" w:hAnsi="Times New Roman"/>
          <w:b w:val="false"/>
          <w:i w:val="false"/>
          <w:color w:val="000000"/>
          <w:sz w:val="22"/>
        </w:rPr>
        <w:t> </w:t>
      </w:r>
      <w:r>
        <w:rPr>
          <w:rFonts w:ascii="Times New Roman" w:hAnsi="Times New Roman"/>
          <w:b w:val="false"/>
          <w:i w:val="false"/>
          <w:color w:val="000000"/>
          <w:sz w:val="22"/>
        </w:rPr>
        <w:t>The board shall not charge an application or licensing fee for issuance of a retired volunteer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13.4(11)</w:t>
      </w:r>
      <w:r>
        <w:rPr>
          <w:rFonts w:ascii="Times New Roman" w:hAnsi="Times New Roman"/>
          <w:b w:val="false"/>
          <w:i w:val="false"/>
          <w:color w:val="000000"/>
          <w:sz w:val="22"/>
        </w:rPr>
        <w:t> </w:t>
      </w:r>
      <w:r>
        <w:rPr>
          <w:rFonts w:ascii="Times New Roman" w:hAnsi="Times New Roman"/>
          <w:b w:val="false"/>
          <w:i w:val="false"/>
          <w:color w:val="000000"/>
          <w:sz w:val="22"/>
        </w:rPr>
        <w:t>A retired volunteer license is valid for 12 months from the date of issuance, at which time it expires and becomes invalid. A retired volunteer license holder whose license has become invalid is prohibited from the practice of dentistry or dental hygiene until a new retired volunteer license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cancel a retired volunteer license if the holder has practiced outside the scope of the license or for any of the grounds for which licensure may be revoked or suspended as specified in Iowa Code chapters </w:t>
      </w:r>
      <w:hyperlink r:id="rId4">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650—30.4</w:t>
        </w:r>
      </w:hyperlink>
      <w:r>
        <w:rPr>
          <w:rFonts w:ascii="Times New Roman" w:hAnsi="Times New Roman"/>
          <w:b w:val="false"/>
          <w:i w:val="false"/>
          <w:color w:val="000000"/>
          <w:sz w:val="22"/>
        </w:rPr>
        <w:t xml:space="preserve">(147,153,272C). When cancellation of a retired volunteer license is proposed, the board shall promptly notify the license holder by sending a statement of charges and notice of hearing by certified mail to the last-known address of the license holder or by personal service. The provisions of </w:t>
      </w:r>
      <w:hyperlink r:id="rId8">
        <w:r>
          <w:rPr>
            <w:rStyle w:val="Hyperlink"/>
            <w:rFonts w:ascii="Times New Roman" w:hAnsi="Times New Roman"/>
            <w:b w:val="false"/>
            <w:i w:val="false"/>
            <w:color w:val="000000"/>
            <w:sz w:val="22"/>
          </w:rPr>
          <w:t>650—Chapter 51</w:t>
        </w:r>
      </w:hyperlink>
      <w:r>
        <w:rPr>
          <w:rFonts w:ascii="Times New Roman" w:hAnsi="Times New Roman"/>
          <w:b w:val="false"/>
          <w:i w:val="false"/>
          <w:color w:val="000000"/>
          <w:sz w:val="22"/>
        </w:rPr>
        <w:t xml:space="preserve"> shall govern a contested case proceeding following notice of intent to cancel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13.4(13)</w:t>
      </w:r>
      <w:r>
        <w:rPr>
          <w:rFonts w:ascii="Times New Roman" w:hAnsi="Times New Roman"/>
          <w:b w:val="false"/>
          <w:i w:val="false"/>
          <w:color w:val="000000"/>
          <w:sz w:val="22"/>
        </w:rPr>
        <w:t> </w:t>
      </w:r>
      <w:r>
        <w:rPr>
          <w:rFonts w:ascii="Times New Roman" w:hAnsi="Times New Roman"/>
          <w:b w:val="false"/>
          <w:i w:val="false"/>
          <w:color w:val="000000"/>
          <w:sz w:val="22"/>
        </w:rPr>
        <w:t>A person holding a retired volunteer license shall notify the board by written correspondence or through the board’s online system of any change in name or home address within seven days of the change. A copy of a certified marriage license or copy of certified court documents is required for proof of a name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dental hygiene committee shall make recommendations to the board regarding the issuance or denial of any retired volunteer license to practice dental hygiene. The board’s review of the dental hygiene committee’s recommendation is subject to </w:t>
      </w:r>
      <w:hyperlink r:id="rId9">
        <w:r>
          <w:rPr>
            <w:rStyle w:val="Hyperlink"/>
            <w:rFonts w:ascii="Times New Roman" w:hAnsi="Times New Roman"/>
            <w:b w:val="false"/>
            <w:i w:val="false"/>
            <w:color w:val="000000"/>
            <w:sz w:val="22"/>
          </w:rPr>
          <w:t>650—Chapter 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13.4(15)</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deny a retired volunteer license in accordance with </w:t>
      </w:r>
      <w:hyperlink r:id="rId10">
        <w:r>
          <w:rPr>
            <w:rStyle w:val="Hyperlink"/>
            <w:rFonts w:ascii="Times New Roman" w:hAnsi="Times New Roman"/>
            <w:b w:val="false"/>
            <w:i w:val="false"/>
            <w:color w:val="000000"/>
            <w:sz w:val="22"/>
          </w:rPr>
          <w:t>650—11.9</w:t>
        </w:r>
      </w:hyperlink>
      <w:r>
        <w:rPr>
          <w:rFonts w:ascii="Times New Roman" w:hAnsi="Times New Roman"/>
          <w:b w:val="false"/>
          <w:i w:val="false"/>
          <w:color w:val="000000"/>
          <w:sz w:val="22"/>
        </w:rPr>
        <w:t xml:space="preserve">(147,153). The procedure for appealing the denial is set forth in </w:t>
      </w:r>
      <w:hyperlink r:id="rId11">
        <w:r>
          <w:rPr>
            <w:rStyle w:val="Hyperlink"/>
            <w:rFonts w:ascii="Times New Roman" w:hAnsi="Times New Roman"/>
            <w:b w:val="false"/>
            <w:i w:val="false"/>
            <w:color w:val="000000"/>
            <w:sz w:val="22"/>
          </w:rPr>
          <w:t>650—11.10</w:t>
        </w:r>
      </w:hyperlink>
      <w:r>
        <w:rPr>
          <w:rFonts w:ascii="Times New Roman" w:hAnsi="Times New Roman"/>
          <w:b w:val="false"/>
          <w:i w:val="false"/>
          <w:color w:val="000000"/>
          <w:sz w:val="22"/>
        </w:rPr>
        <w:t>(147).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13.4(16)</w:t>
      </w:r>
      <w:r>
        <w:rPr>
          <w:rFonts w:ascii="Times New Roman" w:hAnsi="Times New Roman"/>
          <w:b w:val="false"/>
          <w:i w:val="false"/>
          <w:color w:val="000000"/>
          <w:sz w:val="22"/>
        </w:rPr>
        <w:t> </w:t>
      </w:r>
      <w:r>
        <w:rPr>
          <w:rFonts w:ascii="Times New Roman" w:hAnsi="Times New Roman"/>
          <w:b w:val="false"/>
          <w:i w:val="false"/>
          <w:color w:val="000000"/>
          <w:sz w:val="22"/>
        </w:rPr>
        <w:t>A person holding an inactive Iowa dental or dental hygiene license may also hold a retired volunteer license.</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153.23</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2423C</w:t>
      </w:r>
      <w:r>
        <w:rPr>
          <w:rFonts w:ascii="Times New Roman" w:hAnsi="Times New Roman"/>
          <w:b w:val="false"/>
          <w:i w:val="false"/>
          <w:color w:val="000000"/>
          <w:sz w:val="16"/>
        </w:rPr>
        <w:t>, IAB 3/2/16, effective 4/6/16</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47.pdf" Type="http://schemas.openxmlformats.org/officeDocument/2006/relationships/hyperlink" Id="rId4"/>
    <Relationship TargetMode="External" Target="https://www.legis.iowa.gov/docs/ico/chapter/153.pdf" Type="http://schemas.openxmlformats.org/officeDocument/2006/relationships/hyperlink" Id="rId5"/>
    <Relationship TargetMode="External" Target="https://www.legis.iowa.gov/docs/ico/chapter/272C.pdf" Type="http://schemas.openxmlformats.org/officeDocument/2006/relationships/hyperlink" Id="rId6"/>
    <Relationship TargetMode="External" Target="https://www.legis.iowa.gov/docs/iac/rule/650.30.4.pdf" Type="http://schemas.openxmlformats.org/officeDocument/2006/relationships/hyperlink" Id="rId7"/>
    <Relationship TargetMode="External" Target="https://www.legis.iowa.gov/docs/iac/chapter/650.51.pdf" Type="http://schemas.openxmlformats.org/officeDocument/2006/relationships/hyperlink" Id="rId8"/>
    <Relationship TargetMode="External" Target="https://www.legis.iowa.gov/docs/iac/chapter/650.1.pdf" Type="http://schemas.openxmlformats.org/officeDocument/2006/relationships/hyperlink" Id="rId9"/>
    <Relationship TargetMode="External" Target="https://www.legis.iowa.gov/docs/iac/rule/650.11.9.pdf" Type="http://schemas.openxmlformats.org/officeDocument/2006/relationships/hyperlink" Id="rId10"/>
    <Relationship TargetMode="External" Target="https://www.legis.iowa.gov/docs/iac/rule/650.11.10.pdf" Type="http://schemas.openxmlformats.org/officeDocument/2006/relationships/hyperlink" Id="rId11"/>
    <Relationship TargetMode="External" Target="https://www.legis.iowa.gov/docs/ico/chapter/153.23.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