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650—13.2</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college and dental hygiene program faculty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faculty permit entitling the holder to practice dentistry or dental hygiene as a faculty member within the University of Iowa College of Dentistry or a dental hygiene program and affiliated teaching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The dean of the college of dentistry or chairperson of a dental hygiene program shall certify to the board or the dental hygiene committee those bona fide members of the college’s or a dental hygiene program’s faculty who are not licensed to practice dentistry or dental hygiene in Iowa. Any faculty member so certified shall, prior to commencing duties in the college of dentistry or a dental hygiene program, make on official board forms written application to the board or the dental hygiene committee for a permit and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nonrefundable application fee, plus the fee for the evaluation of the fingerprint packet and the criminal history background checks by the Iowa division of criminal investigation (DCI) and the Federal Bureau of Investigation (FBI),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professional qualifications and background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the criminal history background checks by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applicant is licensed by another jurisdiction, the applicant shall furnish evidence from the board of dental examiners of that jurisdiction that the applicant is licensed in good standing and has not been the subject of final or pending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disciplinary actions, investigations, complaints, malpractice claims, judgments, settlements, or criminal charges, including the results of a self-query of the National Practitioners Data Bank (NPDB) and the Healthcare Integrity and Protection Data Bank (HIPDB).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the expiration date of the CPR certificate;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Acknowledging that the CPR certificate will be retained and made available to board office staff as part of routine auditing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additional information as the board may deem necessary to enable it to determine the character, education or experience of such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Applications must be signed and verified as to the truth of the statements contained therein and include required credentials and documents, and all questions must be completely answered.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Evidence of successful completion of the jurisprudence examination administered by the Iowa dental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A faculty permit shall expire on August 31 of every even-numbered year and may, at the sole discretion of the board, be renewed on a biennial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fee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of these rules shall be paid for renewal of the faculty permit. A faculty permit holder who fails to renew by the expiration date of the permit shall be assessed a late fee in accordance with </w:t>
      </w:r>
      <w:hyperlink r:id="rId6">
        <w:r>
          <w:rPr>
            <w:rStyle w:val="Hyperlink"/>
            <w:rFonts w:ascii="Times New Roman" w:hAnsi="Times New Roman"/>
            <w:b w:val="false"/>
            <w:i w:val="false"/>
            <w:color w:val="000000"/>
            <w:sz w:val="22"/>
          </w:rPr>
          <w:t>650—14.4</w:t>
        </w:r>
      </w:hyperlink>
      <w:r>
        <w:rPr>
          <w:rFonts w:ascii="Times New Roman" w:hAnsi="Times New Roman"/>
          <w:b w:val="false"/>
          <w:i w:val="false"/>
          <w:color w:val="000000"/>
          <w:sz w:val="22"/>
        </w:rPr>
        <w:t>(147,153,272C).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The faculty permit shall be valid only so long as the holder remains a member of the faculty of the college of dentistry or member of the faculty of a dental hygiene program in Iowa and shall subject the holder to all provisions of the law regulating the practice of dentistry and dental hygiene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13.2(6)</w:t>
      </w:r>
      <w:r>
        <w:rPr>
          <w:rFonts w:ascii="Times New Roman" w:hAnsi="Times New Roman"/>
          <w:b w:val="false"/>
          <w:i w:val="false"/>
          <w:color w:val="000000"/>
          <w:sz w:val="22"/>
        </w:rPr>
        <w:t> </w:t>
      </w:r>
      <w:r>
        <w:rPr>
          <w:rFonts w:ascii="Times New Roman" w:hAnsi="Times New Roman"/>
          <w:b w:val="false"/>
          <w:i w:val="false"/>
          <w:color w:val="000000"/>
          <w:sz w:val="22"/>
        </w:rPr>
        <w:t xml:space="preserve">Faculty permit holders are required to obtain 30 hours of continuing education in accordance with the guidelines in </w:t>
      </w:r>
      <w:hyperlink r:id="rId7">
        <w:r>
          <w:rPr>
            <w:rStyle w:val="Hyperlink"/>
            <w:rFonts w:ascii="Times New Roman" w:hAnsi="Times New Roman"/>
            <w:b w:val="false"/>
            <w:i w:val="false"/>
            <w:color w:val="000000"/>
            <w:sz w:val="22"/>
          </w:rPr>
          <w:t>650—Chapter 25</w:t>
        </w:r>
      </w:hyperlink>
      <w:r>
        <w:rPr>
          <w:rFonts w:ascii="Times New Roman" w:hAnsi="Times New Roman"/>
          <w:b w:val="false"/>
          <w:i w:val="false"/>
          <w:color w:val="000000"/>
          <w:sz w:val="22"/>
        </w:rPr>
        <w:t xml:space="preserve"> for renewal of the faculty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13.2(7)</w:t>
      </w:r>
      <w:r>
        <w:rPr>
          <w:rFonts w:ascii="Times New Roman" w:hAnsi="Times New Roman"/>
          <w:b w:val="false"/>
          <w:i w:val="false"/>
          <w:color w:val="000000"/>
          <w:sz w:val="22"/>
        </w:rPr>
        <w:t> </w:t>
      </w:r>
      <w:r>
        <w:rPr>
          <w:rFonts w:ascii="Times New Roman" w:hAnsi="Times New Roman"/>
          <w:b w:val="false"/>
          <w:i w:val="false"/>
          <w:color w:val="000000"/>
          <w:sz w:val="22"/>
        </w:rPr>
        <w:t>To renew the permit, faculty permit holders shall submit a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Confirming that the applicant possesses a valid certificate from a nationally recognized course in cardiopulmonary resuscitation (CPR) that included a “hands-on” clinical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expiration date of the CPR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Acknowledging that the CPR certificate will be retained and made available to board office staff as part of routine auditing and monitoring.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13.2(8)</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issuance of a dental hygiene program faculty permit shall be made to the dental hygiene committee for consideration and recommendation to the board pursuant to </w:t>
      </w:r>
      <w:hyperlink r:id="rId8">
        <w:r>
          <w:rPr>
            <w:rStyle w:val="Hyperlink"/>
            <w:rFonts w:ascii="Times New Roman" w:hAnsi="Times New Roman"/>
            <w:b w:val="false"/>
            <w:i w:val="false"/>
            <w:color w:val="000000"/>
            <w:sz w:val="22"/>
          </w:rPr>
          <w:t>650—Chapter 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153.37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rule/650.14.4.pdf" Type="http://schemas.openxmlformats.org/officeDocument/2006/relationships/hyperlink" Id="rId6"/>
    <Relationship TargetMode="External" Target="https://www.legis.iowa.gov/docs/iac/chapter/650.25.pdf" Type="http://schemas.openxmlformats.org/officeDocument/2006/relationships/hyperlink" Id="rId7"/>
    <Relationship TargetMode="External" Target="https://www.legis.iowa.gov/docs/iac/chapter/650.1.pdf" Type="http://schemas.openxmlformats.org/officeDocument/2006/relationships/hyperlink" Id="rId8"/>
    <Relationship TargetMode="External" Target="https://www.legis.iowa.gov/docs/ico/chapter/153.3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