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650—13.1</w:t>
      </w:r>
      <w:r>
        <w:rPr>
          <w:rFonts w:ascii="Times New Roman" w:hAnsi="Times New Roman"/>
          <w:b/>
          <w:i w:val="false"/>
          <w:color w:val="000000"/>
          <w:sz w:val="22"/>
        </w:rPr>
        <w:t xml:space="preserve">(153) </w:t>
      </w:r>
      <w:r>
        <w:rPr>
          <w:rFonts w:ascii="Times New Roman" w:hAnsi="Times New Roman"/>
          <w:b/>
          <w:i w:val="false"/>
          <w:color w:val="000000"/>
          <w:sz w:val="22"/>
        </w:rPr>
        <w:t xml:space="preserve">Resident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A dentist or dental hygienist seeking permission to practice as a resident, intern or graduate student in a board-approved teaching or educational institution offering specialty oriented courses shall be required to make application to the board on official board forms and furnish to the board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signed written statement from the dean or designated administrative officer of the institution in which the applicant seeks to enroll.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signed written statement of a dentist who holds an active Iowa license or faculty permit and who proposes to exercise supervision and direction over said applicant, specifying in general terms the time and manner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from an accredited school of dentistry or other school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additional information as the board may deem necessary to enable it to determine the proficiency, character, education or experience of such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Applications must be signed and verified as to the truth of the statements contained therein, and all questions must be completely answered.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fee as specified in </w:t>
      </w:r>
      <w:hyperlink r:id="rId4">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If approved by the board, a resident license shall allow the licensee to serve as a resident, intern, or graduate student dentist or dental hygienist, under the supervision of a practitioner who holds an active Iowa license or faculty permit, at the University of Iowa College of Dentistry or at an institution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val="false"/>
          <w:color w:val="000000"/>
          <w:sz w:val="22"/>
        </w:rPr>
        <w:t>If a resident licensee leaves the service of such institution during the tenure of residency, internship or graduate study, the license shall be considered null and void and the authority granted by the board to the licensee shall be automatically canceled. The director of the resident training program shall notify the board within 30 days of the licensee’s terminating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w:t>
      </w:r>
      <w:r>
        <w:rPr>
          <w:rFonts w:ascii="Times New Roman" w:hAnsi="Times New Roman"/>
          <w:b w:val="false"/>
          <w:i w:val="false"/>
          <w:color w:val="000000"/>
          <w:sz w:val="22"/>
        </w:rPr>
        <w:t> </w:t>
      </w:r>
      <w:r>
        <w:rPr>
          <w:rFonts w:ascii="Times New Roman" w:hAnsi="Times New Roman"/>
          <w:b w:val="false"/>
          <w:i w:val="false"/>
          <w:color w:val="000000"/>
          <w:sz w:val="22"/>
        </w:rPr>
        <w:t>The resident license shall be valid for one year and may be renewed annually during such period of time as the dental resident is continuously enrolled in a graduate dental education program. A resident license issued or renewed on or after January 1, 2006, shall expire on the expected date of completion of the resident training program as indicated on the licensure or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license may be extended past the original expected completion date of the training program at the discretion of the board. A licensee who wishes to extend the expiration date of the license shall submit to the board office an extension application that includes a letter explaining the need for an extension, an extension fee in the amount specified in </w:t>
      </w:r>
      <w:hyperlink r:id="rId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and a statement from the director of the resident training program attesting to the progress of the resident in the training program, the new expected date of completion of the program,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w:t>
      </w:r>
      <w:r>
        <w:rPr>
          <w:rFonts w:ascii="Times New Roman" w:hAnsi="Times New Roman"/>
          <w:b w:val="false"/>
          <w:i w:val="false"/>
          <w:color w:val="000000"/>
          <w:sz w:val="22"/>
        </w:rPr>
        <w:t> </w:t>
      </w:r>
      <w:r>
        <w:rPr>
          <w:rFonts w:ascii="Times New Roman" w:hAnsi="Times New Roman"/>
          <w:b w:val="false"/>
          <w:i w:val="false"/>
          <w:color w:val="000000"/>
          <w:sz w:val="22"/>
        </w:rPr>
        <w:t>The director of the resident training program shall report annually on July 1 the progress of residents under the director’s supervision and whether any warnings have been issued, investigations conducted or disciplinary actions taken, whether by voluntary agreement or formal action. The board shall notify the program directors of the reporting requirement at least 30 days prior to the deadline.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w:t>
      </w:r>
      <w:r>
        <w:rPr>
          <w:rFonts w:ascii="Times New Roman" w:hAnsi="Times New Roman"/>
          <w:b w:val="false"/>
          <w:i w:val="false"/>
          <w:color w:val="000000"/>
          <w:sz w:val="22"/>
        </w:rPr>
        <w:t> </w:t>
      </w:r>
      <w:r>
        <w:rPr>
          <w:rFonts w:ascii="Times New Roman" w:hAnsi="Times New Roman"/>
          <w:b w:val="false"/>
          <w:i w:val="false"/>
          <w:color w:val="000000"/>
          <w:sz w:val="22"/>
        </w:rPr>
        <w:t>A resident licensee who changes resident training programs shall apply for a new resident license and also include a statement from the director of the applicant’s most recent residency program documenting the applicant’s progress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w:t>
      </w:r>
      <w:r>
        <w:rPr>
          <w:rFonts w:ascii="Times New Roman" w:hAnsi="Times New Roman"/>
          <w:b w:val="false"/>
          <w:i w:val="false"/>
          <w:color w:val="000000"/>
          <w:sz w:val="22"/>
        </w:rPr>
        <w:t> </w:t>
      </w:r>
      <w:r>
        <w:rPr>
          <w:rFonts w:ascii="Times New Roman" w:hAnsi="Times New Roman"/>
          <w:b w:val="false"/>
          <w:i w:val="false"/>
          <w:color w:val="000000"/>
          <w:sz w:val="22"/>
        </w:rPr>
        <w:t>No examination or continuing education shall be required for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w:t>
      </w:r>
      <w:r>
        <w:rPr>
          <w:rFonts w:ascii="Times New Roman" w:hAnsi="Times New Roman"/>
          <w:b w:val="false"/>
          <w:i w:val="false"/>
          <w:color w:val="000000"/>
          <w:sz w:val="22"/>
        </w:rPr>
        <w:t> </w:t>
      </w:r>
      <w:r>
        <w:rPr>
          <w:rFonts w:ascii="Times New Roman" w:hAnsi="Times New Roman"/>
          <w:b w:val="false"/>
          <w:i w:val="false"/>
          <w:color w:val="000000"/>
          <w:sz w:val="22"/>
        </w:rPr>
        <w:t>The resident licensee shall be subject to all applicable provisions of the law and the rules of the board. Any violations of these laws or rules or the failure of the licensee to perform and progress satisfactorily or receive effective supervision as determined by the board shall be grounds for revocation of the license after proper notice and hearing.</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15.pdf" Type="http://schemas.openxmlformats.org/officeDocument/2006/relationships/hyperlink" Id="rId4"/>
    <Relationship TargetMode="External" Target="https://www.legis.iowa.gov/docs/iac/chapter/650.15.pdf" Type="http://schemas.openxmlformats.org/officeDocument/2006/relationships/hyperlink" Id="rId5"/>
    <Relationship TargetMode="External" Target="https://www.legis.iowa.gov/docs/ico/chapter/153.2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