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650—12.3</w:t>
      </w:r>
      <w:r>
        <w:rPr>
          <w:rFonts w:ascii="Times New Roman" w:hAnsi="Times New Roman"/>
          <w:b/>
          <w:i w:val="false"/>
          <w:color w:val="000000"/>
          <w:sz w:val="22"/>
        </w:rPr>
        <w:t xml:space="preserve">(147,153) </w:t>
      </w:r>
      <w:r>
        <w:rPr>
          <w:rFonts w:ascii="Times New Roman" w:hAnsi="Times New Roman"/>
          <w:b/>
          <w:i w:val="false"/>
          <w:color w:val="000000"/>
          <w:sz w:val="22"/>
        </w:rPr>
        <w:t xml:space="preserve">Portfolio examination procedure for dentistry.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12.3(1)</w:t>
      </w:r>
      <w:r>
        <w:rPr>
          <w:rFonts w:ascii="Times New Roman" w:hAnsi="Times New Roman"/>
          <w:b w:val="false"/>
          <w:i w:val="false"/>
          <w:color w:val="000000"/>
          <w:sz w:val="22"/>
        </w:rPr>
        <w:t> </w:t>
      </w:r>
      <w:r>
        <w:rPr>
          <w:rFonts w:ascii="Times New Roman" w:hAnsi="Times New Roman"/>
          <w:b w:val="false"/>
          <w:i/>
          <w:color w:val="000000"/>
          <w:sz w:val="22"/>
        </w:rPr>
        <w:t xml:space="preserve">Completion of a portfolio examination. </w:t>
      </w:r>
      <w:r>
        <w:rPr>
          <w:rFonts w:ascii="Times New Roman" w:hAnsi="Times New Roman"/>
          <w:b w:val="false"/>
          <w:i w:val="false"/>
          <w:color w:val="000000"/>
          <w:sz w:val="22"/>
        </w:rPr>
        <w:t>The 2014 California portfolio examination is accepted for licensure by examination for University of Iowa graduates. To meet the requirements for dental licensure and portfolio examination, applicants shall complete the portfolio examination as administered at the University of Iowa College of Dentistry (College of Dentistry).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12.3(2)</w:t>
      </w:r>
      <w:r>
        <w:rPr>
          <w:rFonts w:ascii="Times New Roman" w:hAnsi="Times New Roman"/>
          <w:b w:val="false"/>
          <w:i w:val="false"/>
          <w:color w:val="000000"/>
          <w:sz w:val="22"/>
        </w:rPr>
        <w:t> </w:t>
      </w:r>
      <w:r>
        <w:rPr>
          <w:rFonts w:ascii="Times New Roman" w:hAnsi="Times New Roman"/>
          <w:b w:val="false"/>
          <w:i/>
          <w:color w:val="000000"/>
          <w:sz w:val="22"/>
        </w:rPr>
        <w:t xml:space="preserve">Compliance with testing requirements and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board shall oversee all aspects of the portfolio examination process but shall not interfere with the College of Dentistry’s authority to establish and deliver an accredited curriculum. The board shall determine an end-of-year deadline, in consultation with the College of Dentistry, to determine when the portfolio examinations shall be completed and submitted to the board for review by the board’s examiners.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portfolio examination shall be conducted while the applicant is actively enrolled as a student at the College of Dentistry. This examination shall utilize uniform standards of clinical experiences and competencies as outlined in the 2014 California portfolio examination. The applicant shall pass a final assessment of the submitted portfolio at the end of the applicant’s dental school education at the College of Dentistry.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Before any portfolio examination may be submitted to the board, the applicant shall remit to the board the required portfolio examination fee as specified in 650—Chapter 15 and a letter of good standing signed by the dean of the College of Dentistry stating that the applicant has graduated or will graduate with no pending ethical issues.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12.3(3)</w:t>
      </w:r>
      <w:r>
        <w:rPr>
          <w:rFonts w:ascii="Times New Roman" w:hAnsi="Times New Roman"/>
          <w:b w:val="false"/>
          <w:i w:val="false"/>
          <w:color w:val="000000"/>
          <w:sz w:val="22"/>
        </w:rPr>
        <w:t> </w:t>
      </w:r>
      <w:r>
        <w:rPr>
          <w:rFonts w:ascii="Times New Roman" w:hAnsi="Times New Roman"/>
          <w:b w:val="false"/>
          <w:i/>
          <w:color w:val="000000"/>
          <w:sz w:val="22"/>
        </w:rPr>
        <w:t xml:space="preserve">Scoring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Final clinical competencies performed by the applicant must be evaluated by two examiners who have participated in standardization, calibration and training. The examiners shall be approved by the board and may include faculty, board members or board member designees. Board members or board member designees shall have priority as examiners at all times. The College of Dentistry shall submit to the board the names of the portfolio examiners for consideration by January 1 of each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College of Dentistry shall provide a minimum of a seven-day notice for all final competencies. In the event that a seven-day notice cannot be provided, the College of Dentistry must notify the board immediately. In the event that no board members or designees are available to participate in an evaluation, the College of Dentistry may use two board-approved portfolio examiners.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Successful completion of each competency shall result in a score that meets minimum competence-level performance. Scoring criteria for each competency is outlined in the 2014/2015 California Examiner Training Manual.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board shall monitor and audit the standardization and calibration of examiners at least biennially to ensure standardization and an acceptable level of calibration in the grading of the examination. The College of Dentistry’s competency examinations with regard to the portfolio examination shall be audited annually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12.3(4)</w:t>
      </w:r>
      <w:r>
        <w:rPr>
          <w:rFonts w:ascii="Times New Roman" w:hAnsi="Times New Roman"/>
          <w:b w:val="false"/>
          <w:i w:val="false"/>
          <w:color w:val="000000"/>
          <w:sz w:val="22"/>
        </w:rPr>
        <w:t> </w:t>
      </w:r>
      <w:r>
        <w:rPr>
          <w:rFonts w:ascii="Times New Roman" w:hAnsi="Times New Roman"/>
          <w:b w:val="false"/>
          <w:i/>
          <w:color w:val="000000"/>
          <w:sz w:val="22"/>
        </w:rPr>
        <w:t xml:space="preserve">Compliance with clinical operation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board shall require and verify the successful completion of a minimum number of clinical experiences for the portfolio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board shall require and verify the successful completion of a set number of competency examinations performed on a patient of record. The clinical experiences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Comprehensive oral diagnosis and treatment planning;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Periodontics;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Direct restorations;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Indirect restorations;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Removable prosthodontics;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Endodontics.</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3488C</w:t>
      </w:r>
      <w:r>
        <w:rPr>
          <w:rFonts w:ascii="Times New Roman" w:hAnsi="Times New Roman"/>
          <w:b w:val="false"/>
          <w:i w:val="false"/>
          <w:color w:val="000000"/>
          <w:sz w:val="16"/>
        </w:rPr>
        <w:t>, IAB 12/6/17, effective 1/10/18</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