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650—12.2</w:t>
      </w:r>
      <w:r>
        <w:rPr>
          <w:rFonts w:ascii="Times New Roman" w:hAnsi="Times New Roman"/>
          <w:b/>
          <w:i w:val="false"/>
          <w:color w:val="000000"/>
          <w:sz w:val="22"/>
        </w:rPr>
        <w:t xml:space="preserve">(147,153) </w:t>
      </w:r>
      <w:r>
        <w:rPr>
          <w:rFonts w:ascii="Times New Roman" w:hAnsi="Times New Roman"/>
          <w:b/>
          <w:i w:val="false"/>
          <w:color w:val="000000"/>
          <w:sz w:val="22"/>
        </w:rPr>
        <w:t xml:space="preserve">System of retaking dental examinations.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12.2(1)</w:t>
      </w:r>
      <w:r>
        <w:rPr>
          <w:rFonts w:ascii="Times New Roman" w:hAnsi="Times New Roman"/>
          <w:b w:val="false"/>
          <w:i w:val="false"/>
          <w:color w:val="000000"/>
          <w:sz w:val="22"/>
        </w:rPr>
        <w:t> </w:t>
      </w:r>
      <w:r>
        <w:rPr>
          <w:rFonts w:ascii="Times New Roman" w:hAnsi="Times New Roman"/>
          <w:b w:val="false"/>
          <w:i/>
          <w:color w:val="000000"/>
          <w:sz w:val="22"/>
        </w:rPr>
        <w:t xml:space="preserve">Method of counting failures. </w:t>
      </w:r>
      <w:r>
        <w:rPr>
          <w:rFonts w:ascii="Times New Roman" w:hAnsi="Times New Roman"/>
          <w:b w:val="false"/>
          <w:i w:val="false"/>
          <w:color w:val="000000"/>
          <w:sz w:val="22"/>
        </w:rPr>
        <w:t>For the purposes of counting examination failures, the board shall utilize policies adopted by each respective testing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12.2(2)</w:t>
      </w:r>
      <w:r>
        <w:rPr>
          <w:rFonts w:ascii="Times New Roman" w:hAnsi="Times New Roman"/>
          <w:b w:val="false"/>
          <w:i w:val="false"/>
          <w:color w:val="000000"/>
          <w:sz w:val="22"/>
        </w:rPr>
        <w:t> </w:t>
      </w:r>
      <w:r>
        <w:rPr>
          <w:rFonts w:ascii="Times New Roman" w:hAnsi="Times New Roman"/>
          <w:b w:val="false"/>
          <w:i/>
          <w:color w:val="000000"/>
          <w:sz w:val="22"/>
        </w:rPr>
        <w:t xml:space="preserve">Remedial education required prior to third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the third examination attempt, a dental examinee must submit proof of additional formal education or clinical experience approved in advance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dental examinee shall be required to retake only those parts of the examination that the examinee failed. However, a dental examinee who has not passed all parts of the examination within the time frame specified shall be required to retake the entire examination. The dental examinee shall refer to the policies of each respective testing agency to determine applicable time frames.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12.2(3)</w:t>
      </w:r>
      <w:r>
        <w:rPr>
          <w:rFonts w:ascii="Times New Roman" w:hAnsi="Times New Roman"/>
          <w:b w:val="false"/>
          <w:i w:val="false"/>
          <w:color w:val="000000"/>
          <w:sz w:val="22"/>
        </w:rPr>
        <w:t> </w:t>
      </w:r>
      <w:r>
        <w:rPr>
          <w:rFonts w:ascii="Times New Roman" w:hAnsi="Times New Roman"/>
          <w:b w:val="false"/>
          <w:i/>
          <w:color w:val="000000"/>
          <w:sz w:val="22"/>
        </w:rPr>
        <w:t xml:space="preserve">Remedial education required prior to fourth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the fourth examination attempt, a dental examinee must submit proof of satisfactory completion of the equivalent of an additional senior year of an approved curriculum in dentistry at a university or school with an approved curriculum.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the fourth examination, the dental examinee shall be required to retake only those parts of the examination that the examinee failed. However, a dental examinee who has not passed all parts of the examination within the time frame specified shall be required to retake the entire examination. The dental examinee shall refer to the policies of each respective testing agency to determine applicable time frames.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12.2(4)</w:t>
      </w:r>
      <w:r>
        <w:rPr>
          <w:rFonts w:ascii="Times New Roman" w:hAnsi="Times New Roman"/>
          <w:b w:val="false"/>
          <w:i w:val="false"/>
          <w:color w:val="000000"/>
          <w:sz w:val="22"/>
        </w:rPr>
        <w:t> </w:t>
      </w:r>
      <w:r>
        <w:rPr>
          <w:rFonts w:ascii="Times New Roman" w:hAnsi="Times New Roman"/>
          <w:b w:val="false"/>
          <w:i/>
          <w:color w:val="000000"/>
          <w:sz w:val="22"/>
        </w:rPr>
        <w:t xml:space="preserve">Subsequent failures. </w:t>
      </w:r>
      <w:r>
        <w:rPr>
          <w:rFonts w:ascii="Times New Roman" w:hAnsi="Times New Roman"/>
          <w:b w:val="false"/>
          <w:i w:val="false"/>
          <w:color w:val="000000"/>
          <w:sz w:val="22"/>
        </w:rPr>
        <w:t>For the purposes of additional study prior to retakes, the fifth examination will be considered the same as the third.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12.2(5)</w:t>
      </w:r>
      <w:r>
        <w:rPr>
          <w:rFonts w:ascii="Times New Roman" w:hAnsi="Times New Roman"/>
          <w:b w:val="false"/>
          <w:i w:val="false"/>
          <w:color w:val="000000"/>
          <w:sz w:val="22"/>
        </w:rPr>
        <w:t> </w:t>
      </w:r>
      <w:r>
        <w:rPr>
          <w:rFonts w:ascii="Times New Roman" w:hAnsi="Times New Roman"/>
          <w:b w:val="false"/>
          <w:i/>
          <w:color w:val="000000"/>
          <w:sz w:val="22"/>
        </w:rPr>
        <w:t xml:space="preserve">Failures of other examinations. </w:t>
      </w:r>
      <w:r>
        <w:rPr>
          <w:rFonts w:ascii="Times New Roman" w:hAnsi="Times New Roman"/>
          <w:b w:val="false"/>
          <w:i w:val="false"/>
          <w:color w:val="000000"/>
          <w:sz w:val="22"/>
        </w:rPr>
        <w:t>If a dental examinee applies for an examination after having failed any other state or regional examinations, the failure shall be counted for the purposes of retakes.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9510B</w:t>
      </w:r>
      <w:r>
        <w:rPr>
          <w:rFonts w:ascii="Times New Roman" w:hAnsi="Times New Roman"/>
          <w:b w:val="false"/>
          <w:i w:val="false"/>
          <w:color w:val="000000"/>
          <w:sz w:val="16"/>
        </w:rPr>
        <w:t>, IAB 5/18/11, effective 6/22/11</w:t>
      </w:r>
      <w:r>
        <w:rPr>
          <w:rFonts w:ascii="Times New Roman" w:hAnsi="Times New Roman"/>
          <w:b w:val="false"/>
          <w:i w:val="false"/>
          <w:color w:val="000000"/>
          <w:sz w:val="16"/>
        </w:rPr>
        <w:t xml:space="preserve">; </w:t>
      </w:r>
      <w:r>
        <w:rPr>
          <w:rFonts w:ascii="Times New Roman" w:hAnsi="Times New Roman"/>
          <w:b/>
          <w:i w:val="false"/>
          <w:color w:val="000000"/>
          <w:sz w:val="16"/>
        </w:rPr>
        <w:t>ARC 2871C</w:t>
      </w:r>
      <w:r>
        <w:rPr>
          <w:rFonts w:ascii="Times New Roman" w:hAnsi="Times New Roman"/>
          <w:b w:val="false"/>
          <w:i w:val="false"/>
          <w:color w:val="000000"/>
          <w:sz w:val="16"/>
        </w:rPr>
        <w:t>, IAB 12/21/16, effective 1/25/17</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