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650—12.1</w:t>
      </w:r>
      <w:r>
        <w:rPr>
          <w:rFonts w:ascii="Times New Roman" w:hAnsi="Times New Roman"/>
          <w:b/>
          <w:i w:val="false"/>
          <w:color w:val="000000"/>
          <w:sz w:val="22"/>
        </w:rPr>
        <w:t xml:space="preserve">(147,153) </w:t>
      </w:r>
      <w:r>
        <w:rPr>
          <w:rFonts w:ascii="Times New Roman" w:hAnsi="Times New Roman"/>
          <w:b/>
          <w:i w:val="false"/>
          <w:color w:val="000000"/>
          <w:sz w:val="22"/>
        </w:rPr>
        <w:t xml:space="preserve">Clinical examination procedure for dentistry.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regional clinical examination testing requirements and procedures. </w:t>
      </w:r>
      <w:r>
        <w:rPr>
          <w:rFonts w:ascii="Times New Roman" w:hAnsi="Times New Roman"/>
          <w:b w:val="false"/>
          <w:i w:val="false"/>
          <w:color w:val="000000"/>
          <w:sz w:val="22"/>
        </w:rPr>
        <w:t>Examinees shall meet the requirements for testing and follow procedures established by each respective testing agency. Examinees must take all parts offered by the respective testing agency, including the CDCA periodontal scaling non-patient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Scoring requirements. </w:t>
      </w:r>
      <w:r>
        <w:rPr>
          <w:rFonts w:ascii="Times New Roman" w:hAnsi="Times New Roman"/>
          <w:b w:val="false"/>
          <w:i w:val="false"/>
          <w:color w:val="000000"/>
          <w:sz w:val="22"/>
        </w:rPr>
        <w:t>The examinee must attain a passing score on each clinical portion of the examination and on the written portion of the examination.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2871C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