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650—11.9</w:t>
      </w:r>
      <w:r>
        <w:rPr>
          <w:rFonts w:ascii="Times New Roman" w:hAnsi="Times New Roman"/>
          <w:b/>
          <w:i w:val="false"/>
          <w:color w:val="000000"/>
          <w:sz w:val="22"/>
        </w:rPr>
        <w:t xml:space="preserve">(272C) </w:t>
      </w:r>
      <w:r>
        <w:rPr>
          <w:rFonts w:ascii="Times New Roman" w:hAnsi="Times New Roman"/>
          <w:b/>
          <w:i w:val="false"/>
          <w:color w:val="000000"/>
          <w:sz w:val="22"/>
        </w:rPr>
        <w:t xml:space="preserve">Registration by verification. </w:t>
      </w:r>
      <w:r>
        <w:rPr>
          <w:rFonts w:ascii="Times New Roman" w:hAnsi="Times New Roman"/>
          <w:b w:val="false"/>
          <w:i w:val="false"/>
          <w:color w:val="000000"/>
          <w:sz w:val="22"/>
        </w:rPr>
        <w:t>Registration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dental assistant may seek registration by verification if the person is currently licensed or registered as a dental assistant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or registration, verifying that the applicant’s license or registration in that jurisdiction complies with the requirements of Iowa Code section </w:t>
      </w:r>
      <w:hyperlink r:id="rId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registration nor deny the application for registration until the matter is resolved. A person who has had a license or registration revoked, or who has voluntarily surrendered a license or registration, in another jurisdiction is ineligible for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registration nor deny the application for registration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Temporary registrations. </w:t>
      </w:r>
      <w:r>
        <w:rPr>
          <w:rFonts w:ascii="Times New Roman" w:hAnsi="Times New Roman"/>
          <w:b w:val="false"/>
          <w:i w:val="false"/>
          <w:color w:val="000000"/>
          <w:sz w:val="22"/>
        </w:rPr>
        <w:t>Applicants who satisfy all requirements for a registration under this rule except for passing the jurisprudence examination may be issued a temporary registration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registration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registration may be renewed once for an additional period of three months if the applicant has not failed the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registrant shall display the board-issued registration renewal card that indicates the registration is a temporary registration, which will satisfy the requirements in rule </w:t>
      </w:r>
      <w:hyperlink r:id="rId5">
        <w:r>
          <w:rPr>
            <w:rStyle w:val="Hyperlink"/>
            <w:rFonts w:ascii="Times New Roman" w:hAnsi="Times New Roman"/>
            <w:b w:val="false"/>
            <w:i w:val="false"/>
            <w:color w:val="000000"/>
            <w:sz w:val="22"/>
          </w:rPr>
          <w:t>650—10.2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registrant must submit proof of passing the jurisprudence examination before the temporary registration expires. When the temporary registrant submits proof of passing the jurisprudence examination, the temporary registration will convert to a standard registration and be assigned an expiration date consistent with standard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registrant does not submit proof of passing the jurisprudence examination prior to the expiration of the temporary registration, the temporary registrant must cease practice until a standard registration is issued.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2.pdf" Type="http://schemas.openxmlformats.org/officeDocument/2006/relationships/hyperlink" Id="rId4"/>
    <Relationship TargetMode="External" Target="https://www.legis.iowa.gov/docs/iac/rule/650.10.2.pdf" Type="http://schemas.openxmlformats.org/officeDocument/2006/relationships/hyperlink" Id="rId5"/>
    <Relationship TargetMode="External" Target="https://www.legis.iowa.gov/docs/ico/chapter/272C.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