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650—11.8</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assistant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 applicant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board-approved training or education in dental assisting in accordance with </w:t>
      </w:r>
      <w:hyperlink r:id="rId4">
        <w:r>
          <w:rPr>
            <w:rStyle w:val="Hyperlink"/>
            <w:rFonts w:ascii="Times New Roman" w:hAnsi="Times New Roman"/>
            <w:b w:val="false"/>
            <w:i w:val="false"/>
            <w:color w:val="000000"/>
            <w:sz w:val="22"/>
          </w:rPr>
          <w:t>subrule 11.8(2)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current certification in cardiopulmonary resuscitation that included a hands-on component;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board-approved examination in the areas of infection control/hazardous materials and jurisprudence in accordance with </w:t>
      </w:r>
      <w:hyperlink r:id="rId5">
        <w:r>
          <w:rPr>
            <w:rStyle w:val="Hyperlink"/>
            <w:rFonts w:ascii="Times New Roman" w:hAnsi="Times New Roman"/>
            <w:b w:val="false"/>
            <w:i w:val="false"/>
            <w:color w:val="000000"/>
            <w:sz w:val="22"/>
          </w:rPr>
          <w:t>subrule 11.8(3)</w:t>
        </w:r>
      </w:hyperlink>
      <w:r>
        <w:rPr>
          <w:rFonts w:ascii="Times New Roman" w:hAnsi="Times New Roman"/>
          <w:b w:val="false"/>
          <w:i w:val="false"/>
          <w:color w:val="000000"/>
          <w:sz w:val="22"/>
        </w:rPr>
        <w:t xml:space="preserve">. Successful completion of board-approved examination in the area of dental radiography is also required if an applicant is applying for a radiography qualification in accordance with rule </w:t>
      </w:r>
      <w:hyperlink r:id="rId6">
        <w:r>
          <w:rPr>
            <w:rStyle w:val="Hyperlink"/>
            <w:rFonts w:ascii="Times New Roman" w:hAnsi="Times New Roman"/>
            <w:b w:val="false"/>
            <w:i w:val="false"/>
            <w:color w:val="000000"/>
            <w:sz w:val="22"/>
          </w:rPr>
          <w:t>650—22.5</w:t>
        </w:r>
      </w:hyperlink>
      <w:r>
        <w:rPr>
          <w:rFonts w:ascii="Times New Roman" w:hAnsi="Times New Roman"/>
          <w:b w:val="false"/>
          <w:i w:val="false"/>
          <w:color w:val="000000"/>
          <w:sz w:val="22"/>
        </w:rPr>
        <w:t>(136C,153).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Education and training. </w:t>
      </w:r>
      <w:r>
        <w:rPr>
          <w:rFonts w:ascii="Times New Roman" w:hAnsi="Times New Roman"/>
          <w:b w:val="false"/>
          <w:i w:val="false"/>
          <w:color w:val="000000"/>
          <w:sz w:val="22"/>
        </w:rPr>
        <w:t>An applicant must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in a dental office as a dental assistant trainee until competency is achieved as determined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as a dental assistant in another state, district or territory within five years prior to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a graduate of an accredited dental assisting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 xml:space="preserve">An applicant for registration must successfully complete examinations as required pursuant to </w:t>
      </w:r>
      <w:hyperlink r:id="rId7">
        <w:r>
          <w:rPr>
            <w:rStyle w:val="Hyperlink"/>
            <w:rFonts w:ascii="Times New Roman" w:hAnsi="Times New Roman"/>
            <w:b w:val="false"/>
            <w:i w:val="false"/>
            <w:color w:val="000000"/>
            <w:sz w:val="22"/>
          </w:rPr>
          <w:t>subrule 11.8(2)</w:t>
        </w:r>
      </w:hyperlink>
      <w:r>
        <w:rPr>
          <w:rFonts w:ascii="Times New Roman" w:hAnsi="Times New Roman"/>
          <w:b w:val="false"/>
          <w:i w:val="false"/>
          <w:color w:val="000000"/>
          <w:sz w:val="22"/>
        </w:rPr>
        <w:t>. Applicants may complete a single comprehensive examination or complete separate board-approved examinations in the required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examinations are approved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Board-approved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Dental Assisting National Board’s (DANB’s) Infection Control Examination (ICE);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DANB’s Radiation Health and Safety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Examinations administered by accredited dental assisting programs;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Board-approved continuing education courses, which include posttest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score of 75 percent or better on the board-approved examinations shall be considered successful completion of the examination. The board also accepts the passing standard established by DANB for applicants who take the ICE or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examinee must meet such other requirements as may be imposed by the board’s approved dental assistant testing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Applications for registration as a registered dental assistant must be filed on official board forms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as specified in </w:t>
      </w:r>
      <w:hyperlink r:id="rId8">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meeting the education and training requirements specified in </w:t>
      </w:r>
      <w:hyperlink r:id="rId9">
        <w:r>
          <w:rPr>
            <w:rStyle w:val="Hyperlink"/>
            <w:rFonts w:ascii="Times New Roman" w:hAnsi="Times New Roman"/>
            <w:b w:val="false"/>
            <w:i w:val="false"/>
            <w:color w:val="000000"/>
            <w:sz w:val="22"/>
          </w:rPr>
          <w:t>subrule 11.8(2)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board-approved examination in the areas of infection control, hazardous materials and jurisprudence as specified in </w:t>
      </w:r>
      <w:hyperlink r:id="rId10">
        <w:r>
          <w:rPr>
            <w:rStyle w:val="Hyperlink"/>
            <w:rFonts w:ascii="Times New Roman" w:hAnsi="Times New Roman"/>
            <w:b w:val="false"/>
            <w:i w:val="false"/>
            <w:color w:val="000000"/>
            <w:sz w:val="22"/>
          </w:rPr>
          <w:t>subrule 11.8(3)</w:t>
        </w:r>
      </w:hyperlink>
      <w:r>
        <w:rPr>
          <w:rFonts w:ascii="Times New Roman" w:hAnsi="Times New Roman"/>
          <w:b w:val="false"/>
          <w:i w:val="false"/>
          <w:color w:val="000000"/>
          <w:sz w:val="22"/>
        </w:rPr>
        <w:t xml:space="preserve">, and dental radiography, if the applicant is also applying for a qualification in dental radiography in accordance with rule </w:t>
      </w:r>
      <w:hyperlink r:id="rId11">
        <w:r>
          <w:rPr>
            <w:rStyle w:val="Hyperlink"/>
            <w:rFonts w:ascii="Times New Roman" w:hAnsi="Times New Roman"/>
            <w:b w:val="false"/>
            <w:i w:val="false"/>
            <w:color w:val="000000"/>
            <w:sz w:val="22"/>
          </w:rPr>
          <w:t>650—22.5</w:t>
        </w:r>
      </w:hyperlink>
      <w:r>
        <w:rPr>
          <w:rFonts w:ascii="Times New Roman" w:hAnsi="Times New Roman"/>
          <w:b w:val="false"/>
          <w:i w:val="false"/>
          <w:color w:val="000000"/>
          <w:sz w:val="22"/>
        </w:rPr>
        <w:t>(136,153).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meeting the qualifications of </w:t>
      </w:r>
      <w:hyperlink r:id="rId12">
        <w:r>
          <w:rPr>
            <w:rStyle w:val="Hyperlink"/>
            <w:rFonts w:ascii="Times New Roman" w:hAnsi="Times New Roman"/>
            <w:b w:val="false"/>
            <w:i w:val="false"/>
            <w:color w:val="000000"/>
            <w:sz w:val="22"/>
          </w:rPr>
          <w:t>650—Chapter 22</w:t>
        </w:r>
      </w:hyperlink>
      <w:r>
        <w:rPr>
          <w:rFonts w:ascii="Times New Roman" w:hAnsi="Times New Roman"/>
          <w:b w:val="false"/>
          <w:i w:val="false"/>
          <w:color w:val="000000"/>
          <w:sz w:val="22"/>
        </w:rPr>
        <w:t xml:space="preserve"> if the applicant is engaging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of current certification in cardiopulmonary resuscitation that included a hands-on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required by the board relating to the character, education and experience of the applicant as may be necessary to evaluate the applicant’s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color w:val="000000"/>
          <w:sz w:val="22"/>
        </w:rPr>
        <w:t xml:space="preserve">Attestation. </w:t>
      </w:r>
      <w:r>
        <w:rPr>
          <w:rFonts w:ascii="Times New Roman" w:hAnsi="Times New Roman"/>
          <w:b w:val="false"/>
          <w:i w:val="false"/>
          <w:color w:val="000000"/>
          <w:sz w:val="22"/>
        </w:rPr>
        <w:t>All applications must be signed and verified by the applicant as to the truth of the documents and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color w:val="000000"/>
          <w:sz w:val="22"/>
        </w:rPr>
        <w:t xml:space="preserve">Alternate pathway for registration. </w:t>
      </w:r>
      <w:r>
        <w:rPr>
          <w:rFonts w:ascii="Times New Roman" w:hAnsi="Times New Roman"/>
          <w:b w:val="false"/>
          <w:i w:val="false"/>
          <w:color w:val="000000"/>
          <w:sz w:val="22"/>
        </w:rPr>
        <w:t xml:space="preserve">A dental assistant who is licensed or registered in another jurisdiction but who is unable to satisfy the requirements for registration in this rule may apply for registration by verification, if eligible, in accordance with rule </w:t>
      </w:r>
      <w:hyperlink r:id="rId13">
        <w:r>
          <w:rPr>
            <w:rStyle w:val="Hyperlink"/>
            <w:rFonts w:ascii="Times New Roman" w:hAnsi="Times New Roman"/>
            <w:b w:val="false"/>
            <w:i w:val="false"/>
            <w:color w:val="000000"/>
            <w:sz w:val="22"/>
          </w:rPr>
          <w:t>650—11.9</w:t>
        </w:r>
      </w:hyperlink>
      <w:r>
        <w:rPr>
          <w:rFonts w:ascii="Times New Roman" w:hAnsi="Times New Roman"/>
          <w:b w:val="false"/>
          <w:i w:val="false"/>
          <w:color w:val="000000"/>
          <w:sz w:val="22"/>
        </w:rPr>
        <w:t>(272C).</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11.8.pdf" Type="http://schemas.openxmlformats.org/officeDocument/2006/relationships/hyperlink" Id="rId4"/>
    <Relationship TargetMode="External" Target="https://www.legis.iowa.gov/docs/iac/rule/650.11.8.pdf" Type="http://schemas.openxmlformats.org/officeDocument/2006/relationships/hyperlink" Id="rId5"/>
    <Relationship TargetMode="External" Target="https://www.legis.iowa.gov/docs/iac/rule/650.22.5.pdf" Type="http://schemas.openxmlformats.org/officeDocument/2006/relationships/hyperlink" Id="rId6"/>
    <Relationship TargetMode="External" Target="https://www.legis.iowa.gov/docs/iac/rule/650.11.8.pdf" Type="http://schemas.openxmlformats.org/officeDocument/2006/relationships/hyperlink" Id="rId7"/>
    <Relationship TargetMode="External" Target="https://www.legis.iowa.gov/docs/iac/chapter/650.15.pdf" Type="http://schemas.openxmlformats.org/officeDocument/2006/relationships/hyperlink" Id="rId8"/>
    <Relationship TargetMode="External" Target="https://www.legis.iowa.gov/docs/iac/rule/650.11.8.pdf" Type="http://schemas.openxmlformats.org/officeDocument/2006/relationships/hyperlink" Id="rId9"/>
    <Relationship TargetMode="External" Target="https://www.legis.iowa.gov/docs/iac/rule/650.11.8.pdf" Type="http://schemas.openxmlformats.org/officeDocument/2006/relationships/hyperlink" Id="rId10"/>
    <Relationship TargetMode="External" Target="https://www.legis.iowa.gov/docs/iac/rule/650.22.5.pdf" Type="http://schemas.openxmlformats.org/officeDocument/2006/relationships/hyperlink" Id="rId11"/>
    <Relationship TargetMode="External" Target="https://www.legis.iowa.gov/docs/iac/chapter/650.22.pdf" Type="http://schemas.openxmlformats.org/officeDocument/2006/relationships/hyperlink" Id="rId12"/>
    <Relationship TargetMode="External" Target="https://www.legis.iowa.gov/docs/iac/rule/650.11.9.pdf" Type="http://schemas.openxmlformats.org/officeDocument/2006/relationships/hyperlink" Id="rId13"/>
    <Relationship TargetMode="External" Target="https://www.legis.iowa.gov/docs/ico/chapter/153.39.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