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650—11.6</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licensure by credentials. </w:t>
      </w:r>
      <w:r>
        <w:rPr>
          <w:rFonts w:ascii="Times New Roman" w:hAnsi="Times New Roman"/>
          <w:b w:val="false"/>
          <w:i w:val="false"/>
          <w:color w:val="000000"/>
          <w:sz w:val="22"/>
        </w:rPr>
        <w:t>To be issued a license to practice dental hygiene in Iowa on the basis of credentials, an applicant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by credentials to practice dental hygiene in this state shall be made on the form provided by the dental hygiene committee and must be completely answered, including required credentials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Applications must be filed with the dental hygiene committee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dental hygiene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examination of the Joint Commission on National Dental Examinations. Any dental hygienist who has lawfully practiced dental hygiene in another state or territory for five or more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any dental hygiene examinations taken by the applicant, with indication of pass/fail for each examination taken. Any dental hygienist who has lawfully practiced dental hygiene in another state or territory for five or more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current, valid license to practice dental hygiene in another state, territory or district of the United States issued under requirements equivalent or substantially equivalent to those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of a regional clinical examination pursuant to </w:t>
      </w:r>
      <w:hyperlink r:id="rId4">
        <w:r>
          <w:rPr>
            <w:rStyle w:val="Hyperlink"/>
            <w:rFonts w:ascii="Times New Roman" w:hAnsi="Times New Roman"/>
            <w:b w:val="false"/>
            <w:i w:val="false"/>
            <w:color w:val="000000"/>
            <w:sz w:val="22"/>
          </w:rPr>
          <w:t>subrule 11.5(2)</w:t>
        </w:r>
      </w:hyperlink>
      <w:r>
        <w:rPr>
          <w:rFonts w:ascii="Times New Roman" w:hAnsi="Times New Roman"/>
          <w:b w:val="false"/>
          <w:i w:val="false"/>
          <w:color w:val="000000"/>
          <w:sz w:val="22"/>
        </w:rPr>
        <w:t xml:space="preserve"> within the previous five-year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for three consecutive years immediately prior to the filing of the application been in the lawful practice of dental hygiene in such other state, territory or district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from the state board of dentistry, or equivalent authority, in each state in which applicant has been licensed to practice dental hygiene, that the applicant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complaints, malpractice claims, judgments, settlements, or criminal charges, including the 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for licensure by credentials, the initial licensure fee and the fee for the evaluation of the fingerprint packet and the criminal history background checks by the Iowa division of criminal investigation (DCI) and the Federal Bureau of Investigation (FBI),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Applicant shall appear for a personal interview conducted by the dental hygiene committee or the board by request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attesting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review by the dental hygiene committee, the committee shall make a recommendation to the board regarding issuance or denial of a dental hygiene license. The board’s review of the dental hygiene committee recommendation is subject to </w:t>
      </w:r>
      <w:hyperlink r:id="rId6">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who is licensed in another jurisdiction but who is unable to satisfy the requirements for licensure by credentials may apply for licensure by verification, if eligible, in accordance with rule </w:t>
      </w:r>
      <w:hyperlink r:id="rId7">
        <w:r>
          <w:rPr>
            <w:rStyle w:val="Hyperlink"/>
            <w:rFonts w:ascii="Times New Roman" w:hAnsi="Times New Roman"/>
            <w:b w:val="false"/>
            <w:i w:val="false"/>
            <w:color w:val="000000"/>
            <w:sz w:val="22"/>
          </w:rPr>
          <w:t>650—11.12</w:t>
        </w:r>
      </w:hyperlink>
      <w:r>
        <w:rPr>
          <w:rFonts w:ascii="Times New Roman" w:hAnsi="Times New Roman"/>
          <w:b w:val="false"/>
          <w:i w:val="false"/>
          <w:color w:val="000000"/>
          <w:sz w:val="22"/>
        </w:rPr>
        <w:t xml:space="preserve">(272C). </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0618C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5539C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1.5.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chapter/650.1.pdf" Type="http://schemas.openxmlformats.org/officeDocument/2006/relationships/hyperlink" Id="rId6"/>
    <Relationship TargetMode="External" Target="https://www.legis.iowa.gov/docs/iac/rule/650.11.12.pdf" Type="http://schemas.openxmlformats.org/officeDocument/2006/relationships/hyperlink" Id="rId7"/>
    <Relationship TargetMode="External" Target="https://www.legis.iowa.gov/docs/ico/chapter/147.80.pdf" Type="http://schemas.openxmlformats.org/officeDocument/2006/relationships/hyperlink" Id="rId8"/>
    <Relationship TargetMode="External" Target="https://www.legis.iowa.gov/docs/ico/chapter/15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