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650—11.4</w:t>
      </w:r>
      <w:r>
        <w:rPr>
          <w:rFonts w:ascii="Times New Roman" w:hAnsi="Times New Roman"/>
          <w:b/>
          <w:i w:val="false"/>
          <w:color w:val="000000"/>
          <w:sz w:val="22"/>
        </w:rPr>
        <w:t xml:space="preserve">(153) </w:t>
      </w:r>
      <w:r>
        <w:rPr>
          <w:rFonts w:ascii="Times New Roman" w:hAnsi="Times New Roman"/>
          <w:b/>
          <w:i w:val="false"/>
          <w:color w:val="000000"/>
          <w:sz w:val="22"/>
        </w:rPr>
        <w:t xml:space="preserve">Graduates of foreign dental schools. </w:t>
      </w:r>
      <w:r>
        <w:rPr>
          <w:rFonts w:ascii="Times New Roman" w:hAnsi="Times New Roman"/>
          <w:b w:val="false"/>
          <w:i w:val="false"/>
          <w:color w:val="000000"/>
          <w:sz w:val="22"/>
        </w:rPr>
        <w:t xml:space="preserve">In addition to meeting the other requirements for licensure specified in rule </w:t>
      </w:r>
      <w:hyperlink r:id="rId4">
        <w:r>
          <w:rPr>
            <w:rStyle w:val="Hyperlink"/>
            <w:rFonts w:ascii="Times New Roman" w:hAnsi="Times New Roman"/>
            <w:b w:val="false"/>
            <w:i w:val="false"/>
            <w:color w:val="000000"/>
            <w:sz w:val="22"/>
          </w:rPr>
          <w:t>650—11.2</w:t>
        </w:r>
      </w:hyperlink>
      <w:r>
        <w:rPr>
          <w:rFonts w:ascii="Times New Roman" w:hAnsi="Times New Roman"/>
          <w:b w:val="false"/>
          <w:i w:val="false"/>
          <w:color w:val="000000"/>
          <w:sz w:val="22"/>
        </w:rPr>
        <w:t xml:space="preserve">(147,153) or </w:t>
      </w:r>
      <w:hyperlink r:id="rId5">
        <w:r>
          <w:rPr>
            <w:rStyle w:val="Hyperlink"/>
            <w:rFonts w:ascii="Times New Roman" w:hAnsi="Times New Roman"/>
            <w:b w:val="false"/>
            <w:i w:val="false"/>
            <w:color w:val="000000"/>
            <w:sz w:val="22"/>
          </w:rPr>
          <w:t>650—11.3</w:t>
        </w:r>
      </w:hyperlink>
      <w:r>
        <w:rPr>
          <w:rFonts w:ascii="Times New Roman" w:hAnsi="Times New Roman"/>
          <w:b w:val="false"/>
          <w:i w:val="false"/>
          <w:color w:val="000000"/>
          <w:sz w:val="22"/>
        </w:rPr>
        <w:t>(153), an applicant for dental licensure who did not graduate with a DDS or DMD from an accredited dental college approved by the board must provide satisfactory evidence of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applicant must complete a full-time dental education program at an accredited dental college. The program must consist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undergraduate supplemental dental education program of at least two academic years. The undergraduate supplemental dental education program must provide didactic and clinical education to the level of a DDS or DMD graduate of the accredited dental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postgraduate general practice residency program of at least one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applicant must receive a dental diploma, degree or certificate from the accredited dental college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to the board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completion of board-approved dental education at an accredited dental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official transcript verifying graduation from the foreign dental school at which the applicant originally obtained a dental degree. If the transcript is written in a language other than English, an original, official translation shall also be submitted;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from the appropriate governmental authority that the applicant was licensed or otherwise authorized by law to practice dentistry in the country in which the applicant received foreign dental school training and that no adverse action was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to the satisfaction of the board an ability to read, write, speak, understand, and be understood in the English language. The applicant may demonstrate English proficiency by submitting to the board evidence of achieving a score sufficient to be rated in the highest level of ability on each section of the Test of English as a Foreign Language (TOEFL) as administered by the Educational Testing Service (ETS).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is licensed in another jurisdiction but who is unable to satisfy the requirements for licensure in this rule may apply for licensure by verification, if eligible, in accordance with rule </w:t>
      </w:r>
      <w:hyperlink r:id="rId6">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3961C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2.pdf" Type="http://schemas.openxmlformats.org/officeDocument/2006/relationships/hyperlink" Id="rId4"/>
    <Relationship TargetMode="External" Target="https://www.legis.iowa.gov/docs/iac/rule/650.11.3.pdf" Type="http://schemas.openxmlformats.org/officeDocument/2006/relationships/hyperlink" Id="rId5"/>
    <Relationship TargetMode="External" Target="https://www.legis.iowa.gov/docs/iac/rule/650.11.12.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