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licensure by credentials.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by credentials to practice dentistry in this state shall be made on the form provided by the board and must be completely answered, including required credentials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Applications must be filed with the board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evidence of graduation with a DDS or DMD from an accredited dental college approved by the board or satisfactory evidence of meeting the requirements specified in rule </w:t>
      </w:r>
      <w:hyperlink r:id="rId4">
        <w:r>
          <w:rPr>
            <w:rStyle w:val="Hyperlink"/>
            <w:rFonts w:ascii="Times New Roman" w:hAnsi="Times New Roman"/>
            <w:b w:val="false"/>
            <w:i w:val="false"/>
            <w:color w:val="000000"/>
            <w:sz w:val="22"/>
          </w:rPr>
          <w:t>650—11.4(153)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Joint Commission on National Dental Examinations. Any dentist who has lawfully practiced dentistry in another state or territory for five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any dental examinations taken by the applicant, with indication of pass/fail for each examination taken. Any dentist who has lawfully practiced dentistry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current, valid license to practice dentistry in another state, territory or district of the United States issued under requirements equivalent or substantially equivalent to those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of a board-approved clinical examination pursuant to </w:t>
      </w:r>
      <w:hyperlink r:id="rId5">
        <w:r>
          <w:rPr>
            <w:rStyle w:val="Hyperlink"/>
            <w:rFonts w:ascii="Times New Roman" w:hAnsi="Times New Roman"/>
            <w:b w:val="false"/>
            <w:i w:val="false"/>
            <w:color w:val="000000"/>
            <w:sz w:val="22"/>
          </w:rPr>
          <w:t>subrule 11.2(2)</w:t>
        </w:r>
      </w:hyperlink>
      <w:r>
        <w:rPr>
          <w:rFonts w:ascii="Times New Roman" w:hAnsi="Times New Roman"/>
          <w:b w:val="false"/>
          <w:i w:val="false"/>
          <w:color w:val="000000"/>
          <w:sz w:val="22"/>
        </w:rPr>
        <w:t xml:space="preserve"> within the previous five-year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for three consecutive years immediately prior to the filing of the application been in the lawful practice of dentistry in such other state, territory or district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state board of dentistry, or equivalent authority, from each state in which applicant has been licensed to practice dentistry,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malpractice claims, complaints, judgments, settlements, or criminal charges, including the 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licensure by credentials, plus the fee for the evaluation of the fingerprint packet and the criminal history background checks by the Iowa division of criminal investigation (DCI) and the Federal Bureau of Investigation (FBI), as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Current CPR certification.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personal appearance or may require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The board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attesting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is licensed in another jurisdiction but who is unable to satisfy the requirements for licensure by credentials may apply for licensure by verification, if eligible, in accordance with rule </w:t>
      </w:r>
      <w:hyperlink r:id="rId7">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4.pdf" Type="http://schemas.openxmlformats.org/officeDocument/2006/relationships/hyperlink" Id="rId4"/>
    <Relationship TargetMode="External" Target="https://www.legis.iowa.gov/docs/iac/rule/650.11.2.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ac/rule/650.11.1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